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4F489C" w14:textId="77777777" w:rsidR="003C7CC8" w:rsidRDefault="00000000">
      <w:pPr>
        <w:jc w:val="center"/>
        <w:rPr>
          <w:rFonts w:ascii="Calibri" w:eastAsia="Calibri" w:hAnsi="Calibri" w:cs="Calibri"/>
          <w:b/>
          <w:bCs/>
          <w:sz w:val="28"/>
          <w:szCs w:val="28"/>
        </w:rPr>
      </w:pPr>
      <w:r>
        <w:rPr>
          <w:rFonts w:ascii="Calibri" w:eastAsia="Calibri" w:hAnsi="Calibri" w:cs="Calibri"/>
          <w:b/>
          <w:bCs/>
          <w:sz w:val="28"/>
          <w:szCs w:val="28"/>
        </w:rPr>
        <w:t>SYLLABUS</w:t>
      </w:r>
    </w:p>
    <w:p w14:paraId="11A14BBC" w14:textId="77777777" w:rsidR="003C7CC8" w:rsidRDefault="003C7CC8">
      <w:pPr>
        <w:jc w:val="center"/>
        <w:rPr>
          <w:rFonts w:ascii="Calibri" w:eastAsia="Calibri" w:hAnsi="Calibri" w:cs="Calibri"/>
          <w:b/>
          <w:bCs/>
          <w:sz w:val="20"/>
          <w:szCs w:val="20"/>
        </w:rPr>
      </w:pPr>
    </w:p>
    <w:p w14:paraId="73E33493" w14:textId="77777777" w:rsidR="003C7CC8" w:rsidRDefault="00000000">
      <w:pPr>
        <w:numPr>
          <w:ilvl w:val="0"/>
          <w:numId w:val="1"/>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Information about the study programme</w:t>
      </w:r>
    </w:p>
    <w:tbl>
      <w:tblPr>
        <w:tblStyle w:val="a8"/>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9"/>
        <w:gridCol w:w="5782"/>
      </w:tblGrid>
      <w:tr w:rsidR="003C7CC8" w14:paraId="6E9B906A" w14:textId="77777777">
        <w:trPr>
          <w:jc w:val="center"/>
        </w:trPr>
        <w:tc>
          <w:tcPr>
            <w:tcW w:w="4419" w:type="dxa"/>
          </w:tcPr>
          <w:p w14:paraId="6E64DDF7"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1.1 Institution of higher education</w:t>
            </w:r>
          </w:p>
        </w:tc>
        <w:tc>
          <w:tcPr>
            <w:tcW w:w="5782" w:type="dxa"/>
          </w:tcPr>
          <w:p w14:paraId="2EA44298"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rPr>
              <w:t>West University of Timișoara</w:t>
            </w:r>
          </w:p>
        </w:tc>
      </w:tr>
      <w:tr w:rsidR="003C7CC8" w14:paraId="3D637E1A" w14:textId="77777777">
        <w:trPr>
          <w:jc w:val="center"/>
        </w:trPr>
        <w:tc>
          <w:tcPr>
            <w:tcW w:w="4419" w:type="dxa"/>
          </w:tcPr>
          <w:p w14:paraId="6100327C"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1.2 Faculty</w:t>
            </w:r>
          </w:p>
        </w:tc>
        <w:tc>
          <w:tcPr>
            <w:tcW w:w="5782" w:type="dxa"/>
          </w:tcPr>
          <w:p w14:paraId="5F9DA22D"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rPr>
              <w:t>Faculty of Psychology and Education Sciences</w:t>
            </w:r>
          </w:p>
        </w:tc>
      </w:tr>
      <w:tr w:rsidR="003C7CC8" w14:paraId="2449C6C8" w14:textId="77777777">
        <w:trPr>
          <w:jc w:val="center"/>
        </w:trPr>
        <w:tc>
          <w:tcPr>
            <w:tcW w:w="4419" w:type="dxa"/>
          </w:tcPr>
          <w:p w14:paraId="2CE9788C"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1.3 Department of</w:t>
            </w:r>
          </w:p>
        </w:tc>
        <w:tc>
          <w:tcPr>
            <w:tcW w:w="5782" w:type="dxa"/>
          </w:tcPr>
          <w:p w14:paraId="13C2692E"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rPr>
              <w:t>Psychology</w:t>
            </w:r>
          </w:p>
        </w:tc>
      </w:tr>
      <w:tr w:rsidR="003C7CC8" w14:paraId="7C23877D" w14:textId="77777777">
        <w:trPr>
          <w:jc w:val="center"/>
        </w:trPr>
        <w:tc>
          <w:tcPr>
            <w:tcW w:w="4419" w:type="dxa"/>
          </w:tcPr>
          <w:p w14:paraId="3D5B9B8E"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1.4 Field of study</w:t>
            </w:r>
          </w:p>
        </w:tc>
        <w:tc>
          <w:tcPr>
            <w:tcW w:w="5782" w:type="dxa"/>
          </w:tcPr>
          <w:p w14:paraId="7E6B7990"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rPr>
              <w:t>Psychology</w:t>
            </w:r>
          </w:p>
        </w:tc>
      </w:tr>
      <w:tr w:rsidR="003C7CC8" w14:paraId="351075A6" w14:textId="77777777">
        <w:trPr>
          <w:jc w:val="center"/>
        </w:trPr>
        <w:tc>
          <w:tcPr>
            <w:tcW w:w="4419" w:type="dxa"/>
          </w:tcPr>
          <w:p w14:paraId="7A11C21D"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1.5 Study cycle</w:t>
            </w:r>
          </w:p>
        </w:tc>
        <w:tc>
          <w:tcPr>
            <w:tcW w:w="5782" w:type="dxa"/>
          </w:tcPr>
          <w:p w14:paraId="1650CE8B"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rPr>
              <w:t>Bachelor’s degree</w:t>
            </w:r>
          </w:p>
        </w:tc>
      </w:tr>
      <w:tr w:rsidR="003C7CC8" w14:paraId="5B579989" w14:textId="77777777">
        <w:trPr>
          <w:jc w:val="center"/>
        </w:trPr>
        <w:tc>
          <w:tcPr>
            <w:tcW w:w="4419" w:type="dxa"/>
          </w:tcPr>
          <w:p w14:paraId="537E4243"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1.6 Study programme</w:t>
            </w:r>
          </w:p>
        </w:tc>
        <w:tc>
          <w:tcPr>
            <w:tcW w:w="5782" w:type="dxa"/>
          </w:tcPr>
          <w:p w14:paraId="2DC0DFD4" w14:textId="01794A1C"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rPr>
              <w:t>Psychology - Cognitive science</w:t>
            </w:r>
          </w:p>
        </w:tc>
      </w:tr>
    </w:tbl>
    <w:p w14:paraId="4AAA0E96" w14:textId="77777777" w:rsidR="003C7CC8" w:rsidRDefault="003C7CC8">
      <w:pPr>
        <w:rPr>
          <w:rFonts w:ascii="Calibri" w:eastAsia="Calibri" w:hAnsi="Calibri" w:cs="Calibri"/>
          <w:sz w:val="20"/>
          <w:szCs w:val="20"/>
        </w:rPr>
      </w:pPr>
    </w:p>
    <w:p w14:paraId="78FE66F5" w14:textId="77777777" w:rsidR="003C7CC8" w:rsidRDefault="00000000">
      <w:pPr>
        <w:numPr>
          <w:ilvl w:val="0"/>
          <w:numId w:val="1"/>
        </w:numPr>
        <w:pBdr>
          <w:top w:val="nil"/>
          <w:left w:val="nil"/>
          <w:bottom w:val="nil"/>
          <w:right w:val="nil"/>
          <w:between w:val="nil"/>
        </w:pBdr>
        <w:spacing w:line="276" w:lineRule="auto"/>
        <w:ind w:left="714" w:hanging="357"/>
        <w:rPr>
          <w:rFonts w:ascii="Calibri" w:eastAsia="Calibri" w:hAnsi="Calibri" w:cs="Calibri"/>
          <w:b/>
          <w:bCs/>
          <w:color w:val="000000"/>
        </w:rPr>
      </w:pPr>
      <w:r>
        <w:rPr>
          <w:rFonts w:ascii="Calibri" w:eastAsia="Calibri" w:hAnsi="Calibri" w:cs="Calibri"/>
          <w:b/>
          <w:bCs/>
          <w:color w:val="000000"/>
        </w:rPr>
        <w:t>Information about the subject/discipline</w:t>
      </w:r>
    </w:p>
    <w:tbl>
      <w:tblPr>
        <w:tblStyle w:val="a9"/>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67"/>
        <w:gridCol w:w="1559"/>
        <w:gridCol w:w="567"/>
        <w:gridCol w:w="1276"/>
        <w:gridCol w:w="1559"/>
        <w:gridCol w:w="1276"/>
        <w:gridCol w:w="1423"/>
      </w:tblGrid>
      <w:tr w:rsidR="003C7CC8" w14:paraId="01DF7E03" w14:textId="77777777">
        <w:trPr>
          <w:jc w:val="center"/>
        </w:trPr>
        <w:tc>
          <w:tcPr>
            <w:tcW w:w="4106" w:type="dxa"/>
            <w:gridSpan w:val="3"/>
          </w:tcPr>
          <w:p w14:paraId="52C0B65F"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2.1 Name</w:t>
            </w:r>
          </w:p>
        </w:tc>
        <w:tc>
          <w:tcPr>
            <w:tcW w:w="6101" w:type="dxa"/>
            <w:gridSpan w:val="5"/>
          </w:tcPr>
          <w:p w14:paraId="46212D9B"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rPr>
              <w:t>Advanced data analysis</w:t>
            </w:r>
          </w:p>
        </w:tc>
      </w:tr>
      <w:tr w:rsidR="003C7CC8" w14:paraId="1134A20C" w14:textId="77777777">
        <w:trPr>
          <w:jc w:val="center"/>
        </w:trPr>
        <w:tc>
          <w:tcPr>
            <w:tcW w:w="4106" w:type="dxa"/>
            <w:gridSpan w:val="3"/>
          </w:tcPr>
          <w:p w14:paraId="75F1DF60"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2.2 Course coordinator</w:t>
            </w:r>
          </w:p>
        </w:tc>
        <w:tc>
          <w:tcPr>
            <w:tcW w:w="6101" w:type="dxa"/>
            <w:gridSpan w:val="5"/>
          </w:tcPr>
          <w:p w14:paraId="5B135F1C" w14:textId="2371BEF2" w:rsidR="003C7CC8" w:rsidRDefault="00AE5848">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Andrei Rusu, PhD</w:t>
            </w:r>
          </w:p>
        </w:tc>
      </w:tr>
      <w:tr w:rsidR="003C7CC8" w14:paraId="051EF22A" w14:textId="77777777">
        <w:trPr>
          <w:jc w:val="center"/>
        </w:trPr>
        <w:tc>
          <w:tcPr>
            <w:tcW w:w="4106" w:type="dxa"/>
            <w:gridSpan w:val="3"/>
          </w:tcPr>
          <w:p w14:paraId="2B3956EA"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2.3 Seminar coordinator</w:t>
            </w:r>
          </w:p>
        </w:tc>
        <w:tc>
          <w:tcPr>
            <w:tcW w:w="6101" w:type="dxa"/>
            <w:gridSpan w:val="5"/>
          </w:tcPr>
          <w:p w14:paraId="51C81D75" w14:textId="6A5AE221" w:rsidR="003C7CC8" w:rsidRDefault="009C5ED4">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Darian Faur, PhD</w:t>
            </w:r>
          </w:p>
        </w:tc>
      </w:tr>
      <w:tr w:rsidR="003C7CC8" w14:paraId="03297E1D" w14:textId="77777777">
        <w:trPr>
          <w:jc w:val="center"/>
        </w:trPr>
        <w:tc>
          <w:tcPr>
            <w:tcW w:w="1980" w:type="dxa"/>
          </w:tcPr>
          <w:p w14:paraId="0F3CF4E0"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2.4 Year of study</w:t>
            </w:r>
          </w:p>
        </w:tc>
        <w:tc>
          <w:tcPr>
            <w:tcW w:w="567" w:type="dxa"/>
          </w:tcPr>
          <w:p w14:paraId="308AF105"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III</w:t>
            </w:r>
          </w:p>
        </w:tc>
        <w:tc>
          <w:tcPr>
            <w:tcW w:w="1559" w:type="dxa"/>
          </w:tcPr>
          <w:p w14:paraId="5D4D16C5" w14:textId="77777777" w:rsidR="003C7CC8" w:rsidRDefault="00000000">
            <w:pPr>
              <w:pBdr>
                <w:top w:val="nil"/>
                <w:left w:val="nil"/>
                <w:bottom w:val="nil"/>
                <w:right w:val="nil"/>
                <w:between w:val="nil"/>
              </w:pBdr>
              <w:spacing w:line="276" w:lineRule="auto"/>
              <w:ind w:right="-108"/>
              <w:rPr>
                <w:rFonts w:ascii="Calibri" w:eastAsia="Calibri" w:hAnsi="Calibri" w:cs="Calibri"/>
                <w:b/>
                <w:bCs/>
                <w:color w:val="000000"/>
              </w:rPr>
            </w:pPr>
            <w:r>
              <w:rPr>
                <w:rFonts w:ascii="Calibri" w:eastAsia="Calibri" w:hAnsi="Calibri" w:cs="Calibri"/>
                <w:b/>
                <w:bCs/>
                <w:color w:val="000000"/>
              </w:rPr>
              <w:t>2.5 Semester</w:t>
            </w:r>
          </w:p>
        </w:tc>
        <w:tc>
          <w:tcPr>
            <w:tcW w:w="567" w:type="dxa"/>
          </w:tcPr>
          <w:p w14:paraId="716F681E"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II</w:t>
            </w:r>
          </w:p>
        </w:tc>
        <w:tc>
          <w:tcPr>
            <w:tcW w:w="1276" w:type="dxa"/>
          </w:tcPr>
          <w:p w14:paraId="59FA3DF5" w14:textId="77777777" w:rsidR="003C7CC8" w:rsidRDefault="00000000">
            <w:pPr>
              <w:pBdr>
                <w:top w:val="nil"/>
                <w:left w:val="nil"/>
                <w:bottom w:val="nil"/>
                <w:right w:val="nil"/>
                <w:between w:val="nil"/>
              </w:pBdr>
              <w:spacing w:line="276" w:lineRule="auto"/>
              <w:ind w:right="-108" w:hanging="108"/>
              <w:rPr>
                <w:rFonts w:ascii="Calibri" w:eastAsia="Calibri" w:hAnsi="Calibri" w:cs="Calibri"/>
                <w:b/>
                <w:bCs/>
                <w:color w:val="000000"/>
              </w:rPr>
            </w:pPr>
            <w:r>
              <w:rPr>
                <w:rFonts w:ascii="Calibri" w:eastAsia="Calibri" w:hAnsi="Calibri" w:cs="Calibri"/>
                <w:b/>
                <w:bCs/>
                <w:color w:val="000000"/>
              </w:rPr>
              <w:t xml:space="preserve"> 2.6 Type of assessment</w:t>
            </w:r>
          </w:p>
        </w:tc>
        <w:tc>
          <w:tcPr>
            <w:tcW w:w="1559" w:type="dxa"/>
          </w:tcPr>
          <w:p w14:paraId="7027D1F8" w14:textId="77777777" w:rsidR="003C7CC8" w:rsidRDefault="00000000">
            <w:pPr>
              <w:rPr>
                <w:rFonts w:ascii="Calibri" w:eastAsia="Calibri" w:hAnsi="Calibri" w:cs="Calibri"/>
                <w:color w:val="000000"/>
              </w:rPr>
            </w:pPr>
            <w:r>
              <w:rPr>
                <w:rFonts w:ascii="Calibri" w:eastAsia="Calibri" w:hAnsi="Calibri" w:cs="Calibri"/>
                <w:sz w:val="22"/>
                <w:szCs w:val="22"/>
              </w:rPr>
              <w:t>E</w:t>
            </w:r>
            <w:r>
              <w:rPr>
                <w:rFonts w:ascii="Calibri" w:eastAsia="Calibri" w:hAnsi="Calibri" w:cs="Calibri"/>
                <w:sz w:val="22"/>
                <w:szCs w:val="22"/>
                <w:vertAlign w:val="superscript"/>
              </w:rPr>
              <w:footnoteReference w:id="1"/>
            </w:r>
          </w:p>
        </w:tc>
        <w:tc>
          <w:tcPr>
            <w:tcW w:w="1276" w:type="dxa"/>
          </w:tcPr>
          <w:p w14:paraId="42AEFB7F" w14:textId="77777777" w:rsidR="003C7CC8" w:rsidRDefault="00000000">
            <w:pPr>
              <w:pBdr>
                <w:top w:val="nil"/>
                <w:left w:val="nil"/>
                <w:bottom w:val="nil"/>
                <w:right w:val="nil"/>
                <w:between w:val="nil"/>
              </w:pBdr>
              <w:spacing w:line="276" w:lineRule="auto"/>
              <w:ind w:right="-108" w:hanging="42"/>
              <w:rPr>
                <w:rFonts w:ascii="Calibri" w:eastAsia="Calibri" w:hAnsi="Calibri" w:cs="Calibri"/>
                <w:b/>
                <w:bCs/>
                <w:color w:val="000000"/>
              </w:rPr>
            </w:pPr>
            <w:r>
              <w:rPr>
                <w:rFonts w:ascii="Calibri" w:eastAsia="Calibri" w:hAnsi="Calibri" w:cs="Calibri"/>
                <w:b/>
                <w:bCs/>
                <w:color w:val="000000"/>
              </w:rPr>
              <w:t>2.7 Type of discipline</w:t>
            </w:r>
          </w:p>
        </w:tc>
        <w:tc>
          <w:tcPr>
            <w:tcW w:w="1423" w:type="dxa"/>
          </w:tcPr>
          <w:p w14:paraId="4DF32043" w14:textId="77777777" w:rsidR="003C7CC8"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DOP</w:t>
            </w:r>
          </w:p>
        </w:tc>
      </w:tr>
    </w:tbl>
    <w:p w14:paraId="69D7D4DB" w14:textId="77777777" w:rsidR="003C7CC8" w:rsidRDefault="00000000">
      <w:pPr>
        <w:pBdr>
          <w:top w:val="nil"/>
          <w:left w:val="nil"/>
          <w:bottom w:val="nil"/>
          <w:right w:val="nil"/>
          <w:between w:val="nil"/>
        </w:pBdr>
        <w:tabs>
          <w:tab w:val="left" w:pos="1719"/>
        </w:tabs>
        <w:jc w:val="both"/>
        <w:rPr>
          <w:rFonts w:ascii="Calibri" w:eastAsia="Calibri" w:hAnsi="Calibri" w:cs="Calibri"/>
          <w:color w:val="000000"/>
          <w:sz w:val="20"/>
          <w:szCs w:val="20"/>
        </w:rPr>
      </w:pPr>
      <w:r>
        <w:rPr>
          <w:rFonts w:ascii="Calibri" w:eastAsia="Calibri" w:hAnsi="Calibri" w:cs="Calibri"/>
          <w:i/>
          <w:iCs/>
          <w:color w:val="000000"/>
        </w:rPr>
        <w:tab/>
      </w:r>
    </w:p>
    <w:p w14:paraId="180DC9DA" w14:textId="77777777" w:rsidR="003C7CC8" w:rsidRDefault="00000000">
      <w:pPr>
        <w:numPr>
          <w:ilvl w:val="0"/>
          <w:numId w:val="1"/>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Total estimated time (hours of teaching per semester)</w:t>
      </w:r>
      <w:r>
        <w:rPr>
          <w:rFonts w:ascii="Calibri" w:eastAsia="Calibri" w:hAnsi="Calibri" w:cs="Calibri"/>
          <w:b/>
          <w:bCs/>
          <w:color w:val="000000"/>
          <w:vertAlign w:val="superscript"/>
        </w:rPr>
        <w:footnoteReference w:id="2"/>
      </w:r>
    </w:p>
    <w:tbl>
      <w:tblPr>
        <w:tblStyle w:val="aa"/>
        <w:tblW w:w="101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35"/>
        <w:gridCol w:w="706"/>
        <w:gridCol w:w="142"/>
        <w:gridCol w:w="1834"/>
        <w:gridCol w:w="566"/>
        <w:gridCol w:w="2539"/>
        <w:gridCol w:w="753"/>
      </w:tblGrid>
      <w:tr w:rsidR="003C7CC8" w14:paraId="2FAFEC0C" w14:textId="77777777">
        <w:trPr>
          <w:trHeight w:val="292"/>
          <w:jc w:val="center"/>
        </w:trPr>
        <w:tc>
          <w:tcPr>
            <w:tcW w:w="3635" w:type="dxa"/>
          </w:tcPr>
          <w:p w14:paraId="64057713" w14:textId="77777777" w:rsidR="003C7CC8" w:rsidRDefault="00000000">
            <w:pPr>
              <w:pBdr>
                <w:top w:val="nil"/>
                <w:left w:val="nil"/>
                <w:bottom w:val="nil"/>
                <w:right w:val="nil"/>
                <w:between w:val="nil"/>
              </w:pBdr>
              <w:spacing w:before="1"/>
              <w:ind w:left="110"/>
              <w:rPr>
                <w:b/>
                <w:bCs/>
                <w:color w:val="000000"/>
              </w:rPr>
            </w:pPr>
            <w:r>
              <w:rPr>
                <w:b/>
                <w:bCs/>
                <w:color w:val="000000"/>
              </w:rPr>
              <w:t>3.1 Number of hours per week</w:t>
            </w:r>
          </w:p>
        </w:tc>
        <w:tc>
          <w:tcPr>
            <w:tcW w:w="706" w:type="dxa"/>
          </w:tcPr>
          <w:p w14:paraId="40B60DA9" w14:textId="77777777" w:rsidR="003C7CC8" w:rsidRDefault="00000000">
            <w:pPr>
              <w:pBdr>
                <w:top w:val="nil"/>
                <w:left w:val="nil"/>
                <w:bottom w:val="nil"/>
                <w:right w:val="nil"/>
                <w:between w:val="nil"/>
              </w:pBdr>
              <w:spacing w:before="1"/>
              <w:ind w:left="297"/>
              <w:rPr>
                <w:color w:val="000000"/>
              </w:rPr>
            </w:pPr>
            <w:r>
              <w:rPr>
                <w:color w:val="000000"/>
              </w:rPr>
              <w:t>4</w:t>
            </w:r>
          </w:p>
        </w:tc>
        <w:tc>
          <w:tcPr>
            <w:tcW w:w="1976" w:type="dxa"/>
            <w:gridSpan w:val="2"/>
          </w:tcPr>
          <w:p w14:paraId="2336EC9B" w14:textId="77777777" w:rsidR="003C7CC8" w:rsidRDefault="00000000">
            <w:pPr>
              <w:pBdr>
                <w:top w:val="nil"/>
                <w:left w:val="nil"/>
                <w:bottom w:val="nil"/>
                <w:right w:val="nil"/>
                <w:between w:val="nil"/>
              </w:pBdr>
              <w:spacing w:before="1"/>
              <w:ind w:left="109"/>
              <w:rPr>
                <w:b/>
                <w:bCs/>
                <w:color w:val="000000"/>
              </w:rPr>
            </w:pPr>
            <w:r>
              <w:rPr>
                <w:b/>
                <w:bCs/>
                <w:color w:val="000000"/>
              </w:rPr>
              <w:t>3.2 course</w:t>
            </w:r>
          </w:p>
        </w:tc>
        <w:tc>
          <w:tcPr>
            <w:tcW w:w="566" w:type="dxa"/>
          </w:tcPr>
          <w:p w14:paraId="0D1FB27B" w14:textId="77777777" w:rsidR="003C7CC8" w:rsidRDefault="00000000">
            <w:pPr>
              <w:pBdr>
                <w:top w:val="nil"/>
                <w:left w:val="nil"/>
                <w:bottom w:val="nil"/>
                <w:right w:val="nil"/>
                <w:between w:val="nil"/>
              </w:pBdr>
              <w:spacing w:before="1"/>
              <w:ind w:left="7"/>
              <w:jc w:val="center"/>
              <w:rPr>
                <w:color w:val="000000"/>
              </w:rPr>
            </w:pPr>
            <w:r>
              <w:rPr>
                <w:color w:val="000000"/>
              </w:rPr>
              <w:t>2</w:t>
            </w:r>
          </w:p>
        </w:tc>
        <w:tc>
          <w:tcPr>
            <w:tcW w:w="2539" w:type="dxa"/>
          </w:tcPr>
          <w:p w14:paraId="140EC6B1" w14:textId="77777777" w:rsidR="003C7CC8" w:rsidRDefault="00000000">
            <w:pPr>
              <w:pBdr>
                <w:top w:val="nil"/>
                <w:left w:val="nil"/>
                <w:bottom w:val="nil"/>
                <w:right w:val="nil"/>
                <w:between w:val="nil"/>
              </w:pBdr>
              <w:spacing w:before="1"/>
              <w:ind w:left="106"/>
              <w:rPr>
                <w:b/>
                <w:bCs/>
                <w:color w:val="000000"/>
              </w:rPr>
            </w:pPr>
            <w:r>
              <w:rPr>
                <w:b/>
                <w:bCs/>
                <w:color w:val="000000"/>
              </w:rPr>
              <w:t>3.3 seminar/laboratory</w:t>
            </w:r>
          </w:p>
        </w:tc>
        <w:tc>
          <w:tcPr>
            <w:tcW w:w="753" w:type="dxa"/>
          </w:tcPr>
          <w:p w14:paraId="15E93C03" w14:textId="77777777" w:rsidR="003C7CC8" w:rsidRDefault="00000000">
            <w:pPr>
              <w:pBdr>
                <w:top w:val="nil"/>
                <w:left w:val="nil"/>
                <w:bottom w:val="nil"/>
                <w:right w:val="nil"/>
                <w:between w:val="nil"/>
              </w:pBdr>
              <w:spacing w:before="1"/>
              <w:ind w:left="63"/>
              <w:jc w:val="center"/>
              <w:rPr>
                <w:color w:val="000000"/>
              </w:rPr>
            </w:pPr>
            <w:r>
              <w:rPr>
                <w:color w:val="000000"/>
              </w:rPr>
              <w:t>2</w:t>
            </w:r>
          </w:p>
        </w:tc>
      </w:tr>
      <w:tr w:rsidR="003C7CC8" w14:paraId="4CD70A6C" w14:textId="77777777">
        <w:trPr>
          <w:trHeight w:val="290"/>
          <w:jc w:val="center"/>
        </w:trPr>
        <w:tc>
          <w:tcPr>
            <w:tcW w:w="3635" w:type="dxa"/>
          </w:tcPr>
          <w:p w14:paraId="0AFF619A" w14:textId="77777777" w:rsidR="003C7CC8" w:rsidRDefault="00000000">
            <w:pPr>
              <w:pBdr>
                <w:top w:val="nil"/>
                <w:left w:val="nil"/>
                <w:bottom w:val="nil"/>
                <w:right w:val="nil"/>
                <w:between w:val="nil"/>
              </w:pBdr>
              <w:spacing w:line="251" w:lineRule="auto"/>
              <w:ind w:left="110"/>
              <w:rPr>
                <w:b/>
                <w:bCs/>
                <w:color w:val="000000"/>
              </w:rPr>
            </w:pPr>
            <w:r>
              <w:rPr>
                <w:b/>
                <w:bCs/>
                <w:color w:val="000000"/>
              </w:rPr>
              <w:t>3.4 Total hours in the curriculum</w:t>
            </w:r>
          </w:p>
        </w:tc>
        <w:tc>
          <w:tcPr>
            <w:tcW w:w="706" w:type="dxa"/>
          </w:tcPr>
          <w:p w14:paraId="0250113D" w14:textId="77777777" w:rsidR="003C7CC8" w:rsidRDefault="00000000">
            <w:pPr>
              <w:pBdr>
                <w:top w:val="nil"/>
                <w:left w:val="nil"/>
                <w:bottom w:val="nil"/>
                <w:right w:val="nil"/>
                <w:between w:val="nil"/>
              </w:pBdr>
              <w:spacing w:line="251" w:lineRule="auto"/>
              <w:ind w:left="270"/>
              <w:rPr>
                <w:color w:val="000000"/>
              </w:rPr>
            </w:pPr>
            <w:r>
              <w:rPr>
                <w:color w:val="000000"/>
              </w:rPr>
              <w:t>56</w:t>
            </w:r>
          </w:p>
        </w:tc>
        <w:tc>
          <w:tcPr>
            <w:tcW w:w="1976" w:type="dxa"/>
            <w:gridSpan w:val="2"/>
          </w:tcPr>
          <w:p w14:paraId="54B1FECA" w14:textId="77777777" w:rsidR="003C7CC8" w:rsidRDefault="00000000">
            <w:pPr>
              <w:pBdr>
                <w:top w:val="nil"/>
                <w:left w:val="nil"/>
                <w:bottom w:val="nil"/>
                <w:right w:val="nil"/>
                <w:between w:val="nil"/>
              </w:pBdr>
              <w:spacing w:line="251" w:lineRule="auto"/>
              <w:ind w:left="109"/>
              <w:rPr>
                <w:b/>
                <w:bCs/>
                <w:color w:val="000000"/>
              </w:rPr>
            </w:pPr>
            <w:r>
              <w:rPr>
                <w:b/>
                <w:bCs/>
                <w:color w:val="000000"/>
              </w:rPr>
              <w:t>3.5 course</w:t>
            </w:r>
          </w:p>
        </w:tc>
        <w:tc>
          <w:tcPr>
            <w:tcW w:w="566" w:type="dxa"/>
          </w:tcPr>
          <w:p w14:paraId="4B887CFA" w14:textId="77777777" w:rsidR="003C7CC8" w:rsidRDefault="00000000">
            <w:pPr>
              <w:pBdr>
                <w:top w:val="nil"/>
                <w:left w:val="nil"/>
                <w:bottom w:val="nil"/>
                <w:right w:val="nil"/>
                <w:between w:val="nil"/>
              </w:pBdr>
              <w:spacing w:line="251" w:lineRule="auto"/>
              <w:ind w:left="151" w:right="144"/>
              <w:jc w:val="center"/>
              <w:rPr>
                <w:color w:val="000000"/>
              </w:rPr>
            </w:pPr>
            <w:r>
              <w:rPr>
                <w:color w:val="000000"/>
              </w:rPr>
              <w:t>28</w:t>
            </w:r>
          </w:p>
        </w:tc>
        <w:tc>
          <w:tcPr>
            <w:tcW w:w="2539" w:type="dxa"/>
          </w:tcPr>
          <w:p w14:paraId="4E2F5B63" w14:textId="77777777" w:rsidR="003C7CC8" w:rsidRDefault="00000000">
            <w:pPr>
              <w:pBdr>
                <w:top w:val="nil"/>
                <w:left w:val="nil"/>
                <w:bottom w:val="nil"/>
                <w:right w:val="nil"/>
                <w:between w:val="nil"/>
              </w:pBdr>
              <w:spacing w:line="251" w:lineRule="auto"/>
              <w:ind w:left="106"/>
              <w:rPr>
                <w:b/>
                <w:bCs/>
                <w:color w:val="000000"/>
              </w:rPr>
            </w:pPr>
            <w:r>
              <w:rPr>
                <w:b/>
                <w:bCs/>
                <w:color w:val="000000"/>
              </w:rPr>
              <w:t>3.6 seminar/laboratory</w:t>
            </w:r>
          </w:p>
        </w:tc>
        <w:tc>
          <w:tcPr>
            <w:tcW w:w="753" w:type="dxa"/>
          </w:tcPr>
          <w:p w14:paraId="09D1B345" w14:textId="77777777" w:rsidR="003C7CC8" w:rsidRDefault="00000000">
            <w:pPr>
              <w:pBdr>
                <w:top w:val="nil"/>
                <w:left w:val="nil"/>
                <w:bottom w:val="nil"/>
                <w:right w:val="nil"/>
                <w:between w:val="nil"/>
              </w:pBdr>
              <w:spacing w:line="251" w:lineRule="auto"/>
              <w:ind w:left="88" w:right="25"/>
              <w:jc w:val="center"/>
              <w:rPr>
                <w:color w:val="000000"/>
              </w:rPr>
            </w:pPr>
            <w:r>
              <w:rPr>
                <w:color w:val="000000"/>
              </w:rPr>
              <w:t>28</w:t>
            </w:r>
          </w:p>
        </w:tc>
      </w:tr>
      <w:tr w:rsidR="003C7CC8" w14:paraId="1C546834" w14:textId="77777777">
        <w:trPr>
          <w:trHeight w:val="292"/>
          <w:jc w:val="center"/>
        </w:trPr>
        <w:tc>
          <w:tcPr>
            <w:tcW w:w="9422" w:type="dxa"/>
            <w:gridSpan w:val="6"/>
          </w:tcPr>
          <w:p w14:paraId="70B7BF74" w14:textId="77777777" w:rsidR="003C7CC8" w:rsidRDefault="00000000">
            <w:pPr>
              <w:pBdr>
                <w:top w:val="nil"/>
                <w:left w:val="nil"/>
                <w:bottom w:val="nil"/>
                <w:right w:val="nil"/>
                <w:between w:val="nil"/>
              </w:pBdr>
              <w:spacing w:line="251" w:lineRule="auto"/>
              <w:ind w:left="110"/>
              <w:rPr>
                <w:b/>
                <w:bCs/>
                <w:color w:val="000000"/>
              </w:rPr>
            </w:pPr>
            <w:r>
              <w:rPr>
                <w:b/>
                <w:bCs/>
                <w:color w:val="000000"/>
              </w:rPr>
              <w:t>Distribution of time:</w:t>
            </w:r>
          </w:p>
        </w:tc>
        <w:tc>
          <w:tcPr>
            <w:tcW w:w="753" w:type="dxa"/>
          </w:tcPr>
          <w:p w14:paraId="5438A666" w14:textId="77777777" w:rsidR="003C7CC8" w:rsidRDefault="00000000">
            <w:pPr>
              <w:pBdr>
                <w:top w:val="nil"/>
                <w:left w:val="nil"/>
                <w:bottom w:val="nil"/>
                <w:right w:val="nil"/>
                <w:between w:val="nil"/>
              </w:pBdr>
              <w:spacing w:line="251" w:lineRule="auto"/>
              <w:ind w:left="88" w:right="77"/>
              <w:jc w:val="center"/>
              <w:rPr>
                <w:b/>
                <w:bCs/>
                <w:color w:val="000000"/>
              </w:rPr>
            </w:pPr>
            <w:r>
              <w:rPr>
                <w:b/>
                <w:bCs/>
                <w:color w:val="000000"/>
              </w:rPr>
              <w:t>hours</w:t>
            </w:r>
          </w:p>
        </w:tc>
      </w:tr>
      <w:tr w:rsidR="003C7CC8" w14:paraId="263100A1" w14:textId="77777777">
        <w:trPr>
          <w:trHeight w:val="290"/>
          <w:jc w:val="center"/>
        </w:trPr>
        <w:tc>
          <w:tcPr>
            <w:tcW w:w="9422" w:type="dxa"/>
            <w:gridSpan w:val="6"/>
          </w:tcPr>
          <w:p w14:paraId="6D2E61DD" w14:textId="77777777" w:rsidR="003C7CC8" w:rsidRDefault="00000000">
            <w:pPr>
              <w:pBdr>
                <w:top w:val="nil"/>
                <w:left w:val="nil"/>
                <w:bottom w:val="nil"/>
                <w:right w:val="nil"/>
                <w:between w:val="nil"/>
              </w:pBdr>
              <w:spacing w:line="246" w:lineRule="auto"/>
              <w:ind w:left="110"/>
              <w:rPr>
                <w:color w:val="000000"/>
              </w:rPr>
            </w:pPr>
            <w:r>
              <w:rPr>
                <w:color w:val="000000"/>
              </w:rPr>
              <w:t>Study based on Instructions, course materials, bibliography and notes</w:t>
            </w:r>
          </w:p>
        </w:tc>
        <w:tc>
          <w:tcPr>
            <w:tcW w:w="753" w:type="dxa"/>
          </w:tcPr>
          <w:p w14:paraId="276D465C" w14:textId="77777777" w:rsidR="003C7CC8" w:rsidRDefault="00000000">
            <w:pPr>
              <w:pBdr>
                <w:top w:val="nil"/>
                <w:left w:val="nil"/>
                <w:bottom w:val="nil"/>
                <w:right w:val="nil"/>
                <w:between w:val="nil"/>
              </w:pBdr>
              <w:spacing w:line="251" w:lineRule="auto"/>
              <w:ind w:left="87" w:right="77"/>
              <w:jc w:val="center"/>
              <w:rPr>
                <w:color w:val="000000"/>
              </w:rPr>
            </w:pPr>
            <w:r>
              <w:rPr>
                <w:color w:val="000000"/>
              </w:rPr>
              <w:t>25</w:t>
            </w:r>
          </w:p>
        </w:tc>
      </w:tr>
      <w:tr w:rsidR="003C7CC8" w14:paraId="6CAA5CE4" w14:textId="77777777">
        <w:trPr>
          <w:trHeight w:val="290"/>
          <w:jc w:val="center"/>
        </w:trPr>
        <w:tc>
          <w:tcPr>
            <w:tcW w:w="9422" w:type="dxa"/>
            <w:gridSpan w:val="6"/>
          </w:tcPr>
          <w:p w14:paraId="40F1E5B9" w14:textId="77777777" w:rsidR="003C7CC8" w:rsidRDefault="00000000">
            <w:pPr>
              <w:pBdr>
                <w:top w:val="nil"/>
                <w:left w:val="nil"/>
                <w:bottom w:val="nil"/>
                <w:right w:val="nil"/>
                <w:between w:val="nil"/>
              </w:pBdr>
              <w:spacing w:line="246" w:lineRule="auto"/>
              <w:ind w:left="110"/>
              <w:rPr>
                <w:color w:val="000000"/>
              </w:rPr>
            </w:pPr>
            <w:r>
              <w:rPr>
                <w:color w:val="000000"/>
              </w:rPr>
              <w:t>Additional documentation library, specialized electronic platforms / field</w:t>
            </w:r>
          </w:p>
        </w:tc>
        <w:tc>
          <w:tcPr>
            <w:tcW w:w="753" w:type="dxa"/>
          </w:tcPr>
          <w:p w14:paraId="1B06BDC1" w14:textId="77777777" w:rsidR="003C7CC8" w:rsidRDefault="00000000">
            <w:pPr>
              <w:pBdr>
                <w:top w:val="nil"/>
                <w:left w:val="nil"/>
                <w:bottom w:val="nil"/>
                <w:right w:val="nil"/>
                <w:between w:val="nil"/>
              </w:pBdr>
              <w:spacing w:line="251" w:lineRule="auto"/>
              <w:ind w:left="87" w:right="77"/>
              <w:jc w:val="center"/>
              <w:rPr>
                <w:color w:val="000000"/>
              </w:rPr>
            </w:pPr>
            <w:r>
              <w:rPr>
                <w:color w:val="000000"/>
              </w:rPr>
              <w:t>28</w:t>
            </w:r>
          </w:p>
        </w:tc>
      </w:tr>
      <w:tr w:rsidR="003C7CC8" w14:paraId="6477655E" w14:textId="77777777">
        <w:trPr>
          <w:trHeight w:val="292"/>
          <w:jc w:val="center"/>
        </w:trPr>
        <w:tc>
          <w:tcPr>
            <w:tcW w:w="9422" w:type="dxa"/>
            <w:gridSpan w:val="6"/>
          </w:tcPr>
          <w:p w14:paraId="5EBA977A" w14:textId="77777777" w:rsidR="003C7CC8" w:rsidRDefault="00000000">
            <w:pPr>
              <w:pBdr>
                <w:top w:val="nil"/>
                <w:left w:val="nil"/>
                <w:bottom w:val="nil"/>
                <w:right w:val="nil"/>
                <w:between w:val="nil"/>
              </w:pBdr>
              <w:spacing w:line="249" w:lineRule="auto"/>
              <w:ind w:left="110"/>
              <w:rPr>
                <w:color w:val="000000"/>
              </w:rPr>
            </w:pPr>
            <w:r>
              <w:rPr>
                <w:color w:val="000000"/>
              </w:rPr>
              <w:t>Training seminars / laboratories, homework, essays, portfolios and essays</w:t>
            </w:r>
          </w:p>
        </w:tc>
        <w:tc>
          <w:tcPr>
            <w:tcW w:w="753" w:type="dxa"/>
          </w:tcPr>
          <w:p w14:paraId="37521EE1" w14:textId="77777777" w:rsidR="003C7CC8" w:rsidRDefault="00000000">
            <w:pPr>
              <w:pBdr>
                <w:top w:val="nil"/>
                <w:left w:val="nil"/>
                <w:bottom w:val="nil"/>
                <w:right w:val="nil"/>
                <w:between w:val="nil"/>
              </w:pBdr>
              <w:spacing w:before="1"/>
              <w:ind w:left="87" w:right="77"/>
              <w:jc w:val="center"/>
              <w:rPr>
                <w:color w:val="000000"/>
              </w:rPr>
            </w:pPr>
            <w:r>
              <w:rPr>
                <w:color w:val="000000"/>
              </w:rPr>
              <w:t>25</w:t>
            </w:r>
          </w:p>
        </w:tc>
      </w:tr>
      <w:tr w:rsidR="003C7CC8" w14:paraId="7F7A1037" w14:textId="77777777">
        <w:trPr>
          <w:trHeight w:val="290"/>
          <w:jc w:val="center"/>
        </w:trPr>
        <w:tc>
          <w:tcPr>
            <w:tcW w:w="9422" w:type="dxa"/>
            <w:gridSpan w:val="6"/>
          </w:tcPr>
          <w:p w14:paraId="5378B9DD" w14:textId="77777777" w:rsidR="003C7CC8" w:rsidRDefault="00000000">
            <w:pPr>
              <w:pBdr>
                <w:top w:val="nil"/>
                <w:left w:val="nil"/>
                <w:bottom w:val="nil"/>
                <w:right w:val="nil"/>
                <w:between w:val="nil"/>
              </w:pBdr>
              <w:spacing w:line="246" w:lineRule="auto"/>
              <w:ind w:left="110"/>
              <w:rPr>
                <w:color w:val="000000"/>
              </w:rPr>
            </w:pPr>
            <w:r>
              <w:rPr>
                <w:color w:val="000000"/>
              </w:rPr>
              <w:t>Tutoring</w:t>
            </w:r>
          </w:p>
        </w:tc>
        <w:tc>
          <w:tcPr>
            <w:tcW w:w="753" w:type="dxa"/>
          </w:tcPr>
          <w:p w14:paraId="597F30A5" w14:textId="77777777" w:rsidR="003C7CC8" w:rsidRDefault="00000000">
            <w:pPr>
              <w:pBdr>
                <w:top w:val="nil"/>
                <w:left w:val="nil"/>
                <w:bottom w:val="nil"/>
                <w:right w:val="nil"/>
                <w:between w:val="nil"/>
              </w:pBdr>
              <w:spacing w:line="251" w:lineRule="auto"/>
              <w:ind w:left="10"/>
              <w:jc w:val="center"/>
              <w:rPr>
                <w:color w:val="000000"/>
              </w:rPr>
            </w:pPr>
            <w:r>
              <w:rPr>
                <w:color w:val="000000"/>
              </w:rPr>
              <w:t>10</w:t>
            </w:r>
          </w:p>
        </w:tc>
      </w:tr>
      <w:tr w:rsidR="003C7CC8" w14:paraId="47D7902A" w14:textId="77777777">
        <w:trPr>
          <w:trHeight w:val="292"/>
          <w:jc w:val="center"/>
        </w:trPr>
        <w:tc>
          <w:tcPr>
            <w:tcW w:w="9422" w:type="dxa"/>
            <w:gridSpan w:val="6"/>
          </w:tcPr>
          <w:p w14:paraId="08CD0BDD" w14:textId="77777777" w:rsidR="003C7CC8" w:rsidRDefault="00000000">
            <w:pPr>
              <w:pBdr>
                <w:top w:val="nil"/>
                <w:left w:val="nil"/>
                <w:bottom w:val="nil"/>
                <w:right w:val="nil"/>
                <w:between w:val="nil"/>
              </w:pBdr>
              <w:spacing w:line="246" w:lineRule="auto"/>
              <w:ind w:left="110"/>
              <w:rPr>
                <w:color w:val="000000"/>
              </w:rPr>
            </w:pPr>
            <w:r>
              <w:rPr>
                <w:color w:val="000000"/>
              </w:rPr>
              <w:t>Examinations</w:t>
            </w:r>
            <w:r>
              <w:rPr>
                <w:color w:val="000000"/>
                <w:vertAlign w:val="superscript"/>
              </w:rPr>
              <w:footnoteReference w:id="3"/>
            </w:r>
          </w:p>
        </w:tc>
        <w:tc>
          <w:tcPr>
            <w:tcW w:w="753" w:type="dxa"/>
          </w:tcPr>
          <w:p w14:paraId="3D4CD6C1" w14:textId="77777777" w:rsidR="003C7CC8" w:rsidRDefault="00000000">
            <w:pPr>
              <w:pBdr>
                <w:top w:val="nil"/>
                <w:left w:val="nil"/>
                <w:bottom w:val="nil"/>
                <w:right w:val="nil"/>
                <w:between w:val="nil"/>
              </w:pBdr>
              <w:spacing w:line="252" w:lineRule="auto"/>
              <w:ind w:left="10"/>
              <w:jc w:val="center"/>
              <w:rPr>
                <w:color w:val="000000"/>
              </w:rPr>
            </w:pPr>
            <w:r>
              <w:rPr>
                <w:color w:val="000000"/>
              </w:rPr>
              <w:t>6</w:t>
            </w:r>
          </w:p>
        </w:tc>
      </w:tr>
      <w:tr w:rsidR="003C7CC8" w14:paraId="682C806A" w14:textId="77777777">
        <w:trPr>
          <w:trHeight w:val="292"/>
          <w:jc w:val="center"/>
        </w:trPr>
        <w:tc>
          <w:tcPr>
            <w:tcW w:w="9422" w:type="dxa"/>
            <w:gridSpan w:val="6"/>
          </w:tcPr>
          <w:p w14:paraId="33C2843C" w14:textId="77777777" w:rsidR="003C7CC8" w:rsidRDefault="00000000">
            <w:pPr>
              <w:pBdr>
                <w:top w:val="nil"/>
                <w:left w:val="nil"/>
                <w:bottom w:val="nil"/>
                <w:right w:val="nil"/>
                <w:between w:val="nil"/>
              </w:pBdr>
              <w:spacing w:line="246" w:lineRule="auto"/>
              <w:ind w:left="110"/>
              <w:rPr>
                <w:color w:val="000000"/>
              </w:rPr>
            </w:pPr>
            <w:r>
              <w:rPr>
                <w:color w:val="000000"/>
              </w:rPr>
              <w:t>Other activities</w:t>
            </w:r>
          </w:p>
        </w:tc>
        <w:tc>
          <w:tcPr>
            <w:tcW w:w="753" w:type="dxa"/>
          </w:tcPr>
          <w:p w14:paraId="4857B7A1" w14:textId="77777777" w:rsidR="003C7CC8" w:rsidRDefault="00000000">
            <w:pPr>
              <w:pBdr>
                <w:top w:val="nil"/>
                <w:left w:val="nil"/>
                <w:bottom w:val="nil"/>
                <w:right w:val="nil"/>
                <w:between w:val="nil"/>
              </w:pBdr>
              <w:spacing w:line="252" w:lineRule="auto"/>
              <w:ind w:left="10"/>
              <w:jc w:val="center"/>
              <w:rPr>
                <w:color w:val="000000"/>
              </w:rPr>
            </w:pPr>
            <w:r>
              <w:rPr>
                <w:color w:val="000000"/>
              </w:rPr>
              <w:t>-</w:t>
            </w:r>
          </w:p>
        </w:tc>
      </w:tr>
      <w:tr w:rsidR="003C7CC8" w14:paraId="195166E4" w14:textId="77777777">
        <w:trPr>
          <w:trHeight w:val="290"/>
          <w:jc w:val="center"/>
        </w:trPr>
        <w:tc>
          <w:tcPr>
            <w:tcW w:w="3635" w:type="dxa"/>
          </w:tcPr>
          <w:p w14:paraId="0E47560D" w14:textId="77777777" w:rsidR="003C7CC8" w:rsidRDefault="00000000">
            <w:pPr>
              <w:pBdr>
                <w:top w:val="nil"/>
                <w:left w:val="nil"/>
                <w:bottom w:val="nil"/>
                <w:right w:val="nil"/>
                <w:between w:val="nil"/>
              </w:pBdr>
              <w:spacing w:line="251" w:lineRule="auto"/>
              <w:ind w:left="110"/>
              <w:rPr>
                <w:b/>
                <w:bCs/>
                <w:color w:val="000000"/>
              </w:rPr>
            </w:pPr>
            <w:r>
              <w:rPr>
                <w:b/>
                <w:bCs/>
                <w:color w:val="000000"/>
              </w:rPr>
              <w:t>3.7 Total hours of individual study</w:t>
            </w:r>
          </w:p>
        </w:tc>
        <w:tc>
          <w:tcPr>
            <w:tcW w:w="848" w:type="dxa"/>
            <w:gridSpan w:val="2"/>
          </w:tcPr>
          <w:p w14:paraId="61BCE7A5" w14:textId="77777777" w:rsidR="003C7CC8" w:rsidRDefault="00000000">
            <w:pPr>
              <w:pBdr>
                <w:top w:val="nil"/>
                <w:left w:val="nil"/>
                <w:bottom w:val="nil"/>
                <w:right w:val="nil"/>
                <w:between w:val="nil"/>
              </w:pBdr>
              <w:spacing w:line="251" w:lineRule="auto"/>
              <w:ind w:left="291" w:right="286"/>
              <w:jc w:val="center"/>
              <w:rPr>
                <w:color w:val="000000"/>
              </w:rPr>
            </w:pPr>
            <w:r>
              <w:rPr>
                <w:color w:val="000000"/>
              </w:rPr>
              <w:t>88</w:t>
            </w:r>
          </w:p>
        </w:tc>
        <w:tc>
          <w:tcPr>
            <w:tcW w:w="5692" w:type="dxa"/>
            <w:gridSpan w:val="4"/>
            <w:vMerge w:val="restart"/>
            <w:tcBorders>
              <w:bottom w:val="nil"/>
              <w:right w:val="nil"/>
            </w:tcBorders>
          </w:tcPr>
          <w:p w14:paraId="270F8441" w14:textId="77777777" w:rsidR="003C7CC8" w:rsidRDefault="003C7CC8">
            <w:pPr>
              <w:pBdr>
                <w:top w:val="nil"/>
                <w:left w:val="nil"/>
                <w:bottom w:val="nil"/>
                <w:right w:val="nil"/>
                <w:between w:val="nil"/>
              </w:pBdr>
              <w:rPr>
                <w:color w:val="000000"/>
              </w:rPr>
            </w:pPr>
          </w:p>
        </w:tc>
      </w:tr>
      <w:tr w:rsidR="003C7CC8" w14:paraId="00E84856" w14:textId="77777777">
        <w:trPr>
          <w:trHeight w:val="290"/>
          <w:jc w:val="center"/>
        </w:trPr>
        <w:tc>
          <w:tcPr>
            <w:tcW w:w="3635" w:type="dxa"/>
          </w:tcPr>
          <w:p w14:paraId="62E4F1EC" w14:textId="77777777" w:rsidR="003C7CC8" w:rsidRDefault="00000000">
            <w:pPr>
              <w:pBdr>
                <w:top w:val="nil"/>
                <w:left w:val="nil"/>
                <w:bottom w:val="nil"/>
                <w:right w:val="nil"/>
                <w:between w:val="nil"/>
              </w:pBdr>
              <w:spacing w:line="251" w:lineRule="auto"/>
              <w:ind w:left="110"/>
              <w:rPr>
                <w:b/>
                <w:bCs/>
                <w:color w:val="000000"/>
              </w:rPr>
            </w:pPr>
            <w:r>
              <w:rPr>
                <w:b/>
                <w:bCs/>
                <w:color w:val="000000"/>
              </w:rPr>
              <w:t>3.8 Total hours per semester</w:t>
            </w:r>
            <w:r>
              <w:rPr>
                <w:b/>
                <w:bCs/>
                <w:color w:val="000000"/>
                <w:vertAlign w:val="superscript"/>
              </w:rPr>
              <w:footnoteReference w:id="4"/>
            </w:r>
          </w:p>
        </w:tc>
        <w:tc>
          <w:tcPr>
            <w:tcW w:w="848" w:type="dxa"/>
            <w:gridSpan w:val="2"/>
          </w:tcPr>
          <w:p w14:paraId="0421D450" w14:textId="77777777" w:rsidR="003C7CC8" w:rsidRDefault="00000000">
            <w:pPr>
              <w:pBdr>
                <w:top w:val="nil"/>
                <w:left w:val="nil"/>
                <w:bottom w:val="nil"/>
                <w:right w:val="nil"/>
                <w:between w:val="nil"/>
              </w:pBdr>
              <w:spacing w:line="251" w:lineRule="auto"/>
              <w:ind w:left="256"/>
              <w:rPr>
                <w:color w:val="000000"/>
              </w:rPr>
            </w:pPr>
            <w:r>
              <w:rPr>
                <w:color w:val="000000"/>
              </w:rPr>
              <w:t>150</w:t>
            </w:r>
          </w:p>
        </w:tc>
        <w:tc>
          <w:tcPr>
            <w:tcW w:w="5692" w:type="dxa"/>
            <w:gridSpan w:val="4"/>
            <w:vMerge/>
            <w:tcBorders>
              <w:bottom w:val="nil"/>
              <w:right w:val="nil"/>
            </w:tcBorders>
          </w:tcPr>
          <w:p w14:paraId="20DAB1EB" w14:textId="77777777" w:rsidR="003C7CC8" w:rsidRDefault="003C7CC8">
            <w:pPr>
              <w:pBdr>
                <w:top w:val="nil"/>
                <w:left w:val="nil"/>
                <w:bottom w:val="nil"/>
                <w:right w:val="nil"/>
                <w:between w:val="nil"/>
              </w:pBdr>
              <w:spacing w:line="276" w:lineRule="auto"/>
              <w:rPr>
                <w:color w:val="000000"/>
              </w:rPr>
            </w:pPr>
          </w:p>
        </w:tc>
      </w:tr>
      <w:tr w:rsidR="003C7CC8" w14:paraId="3FF31740" w14:textId="77777777">
        <w:trPr>
          <w:trHeight w:val="292"/>
          <w:jc w:val="center"/>
        </w:trPr>
        <w:tc>
          <w:tcPr>
            <w:tcW w:w="3635" w:type="dxa"/>
          </w:tcPr>
          <w:p w14:paraId="6A2BB50D" w14:textId="77777777" w:rsidR="003C7CC8" w:rsidRDefault="00000000">
            <w:pPr>
              <w:pBdr>
                <w:top w:val="nil"/>
                <w:left w:val="nil"/>
                <w:bottom w:val="nil"/>
                <w:right w:val="nil"/>
                <w:between w:val="nil"/>
              </w:pBdr>
              <w:spacing w:line="251" w:lineRule="auto"/>
              <w:ind w:left="110"/>
              <w:rPr>
                <w:b/>
                <w:bCs/>
                <w:color w:val="000000"/>
              </w:rPr>
            </w:pPr>
            <w:r>
              <w:rPr>
                <w:b/>
                <w:bCs/>
                <w:color w:val="000000"/>
              </w:rPr>
              <w:t>3.9 Number of credits</w:t>
            </w:r>
          </w:p>
        </w:tc>
        <w:tc>
          <w:tcPr>
            <w:tcW w:w="848" w:type="dxa"/>
            <w:gridSpan w:val="2"/>
          </w:tcPr>
          <w:p w14:paraId="29CD9B34" w14:textId="77777777" w:rsidR="003C7CC8" w:rsidRDefault="00000000">
            <w:pPr>
              <w:pBdr>
                <w:top w:val="nil"/>
                <w:left w:val="nil"/>
                <w:bottom w:val="nil"/>
                <w:right w:val="nil"/>
                <w:between w:val="nil"/>
              </w:pBdr>
              <w:spacing w:line="251" w:lineRule="auto"/>
              <w:ind w:left="5"/>
              <w:jc w:val="center"/>
              <w:rPr>
                <w:color w:val="000000"/>
              </w:rPr>
            </w:pPr>
            <w:r>
              <w:rPr>
                <w:color w:val="000000"/>
              </w:rPr>
              <w:t>6</w:t>
            </w:r>
          </w:p>
        </w:tc>
        <w:tc>
          <w:tcPr>
            <w:tcW w:w="5692" w:type="dxa"/>
            <w:gridSpan w:val="4"/>
            <w:vMerge/>
            <w:tcBorders>
              <w:bottom w:val="nil"/>
              <w:right w:val="nil"/>
            </w:tcBorders>
          </w:tcPr>
          <w:p w14:paraId="4FC7D2E9" w14:textId="77777777" w:rsidR="003C7CC8" w:rsidRDefault="003C7CC8">
            <w:pPr>
              <w:pBdr>
                <w:top w:val="nil"/>
                <w:left w:val="nil"/>
                <w:bottom w:val="nil"/>
                <w:right w:val="nil"/>
                <w:between w:val="nil"/>
              </w:pBdr>
              <w:spacing w:line="276" w:lineRule="auto"/>
              <w:rPr>
                <w:color w:val="000000"/>
              </w:rPr>
            </w:pPr>
          </w:p>
        </w:tc>
      </w:tr>
    </w:tbl>
    <w:p w14:paraId="6BCFCD96" w14:textId="77777777" w:rsidR="003C7CC8" w:rsidRDefault="003C7CC8">
      <w:pPr>
        <w:pBdr>
          <w:top w:val="nil"/>
          <w:left w:val="nil"/>
          <w:bottom w:val="nil"/>
          <w:right w:val="nil"/>
          <w:between w:val="nil"/>
        </w:pBdr>
        <w:rPr>
          <w:rFonts w:ascii="Calibri" w:eastAsia="Calibri" w:hAnsi="Calibri" w:cs="Calibri"/>
          <w:b/>
          <w:bCs/>
          <w:color w:val="000000"/>
          <w:sz w:val="20"/>
          <w:szCs w:val="20"/>
        </w:rPr>
      </w:pPr>
    </w:p>
    <w:p w14:paraId="1E0EDD71" w14:textId="77777777" w:rsidR="003C7CC8" w:rsidRDefault="00000000">
      <w:pPr>
        <w:numPr>
          <w:ilvl w:val="0"/>
          <w:numId w:val="1"/>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Prerequisites (where applicable)</w:t>
      </w:r>
    </w:p>
    <w:tbl>
      <w:tblPr>
        <w:tblStyle w:val="ab"/>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8222"/>
      </w:tblGrid>
      <w:tr w:rsidR="003C7CC8" w14:paraId="03D4A4D6" w14:textId="77777777">
        <w:trPr>
          <w:jc w:val="center"/>
        </w:trPr>
        <w:tc>
          <w:tcPr>
            <w:tcW w:w="1985" w:type="dxa"/>
          </w:tcPr>
          <w:p w14:paraId="3B520BE5"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lastRenderedPageBreak/>
              <w:t>4.1 of curriculum</w:t>
            </w:r>
          </w:p>
        </w:tc>
        <w:tc>
          <w:tcPr>
            <w:tcW w:w="8222" w:type="dxa"/>
          </w:tcPr>
          <w:p w14:paraId="559F33D8" w14:textId="43AC7C4B" w:rsidR="003C7CC8" w:rsidRDefault="00000000">
            <w:pPr>
              <w:numPr>
                <w:ilvl w:val="0"/>
                <w:numId w:val="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Research Methods and Statistics</w:t>
            </w:r>
            <w:r w:rsidR="009C5ED4">
              <w:rPr>
                <w:rFonts w:ascii="Calibri" w:eastAsia="Calibri" w:hAnsi="Calibri" w:cs="Calibri"/>
                <w:color w:val="000000"/>
              </w:rPr>
              <w:t xml:space="preserve"> I&amp;</w:t>
            </w:r>
            <w:r>
              <w:rPr>
                <w:rFonts w:ascii="Calibri" w:eastAsia="Calibri" w:hAnsi="Calibri" w:cs="Calibri"/>
                <w:color w:val="000000"/>
              </w:rPr>
              <w:t xml:space="preserve">II </w:t>
            </w:r>
          </w:p>
          <w:p w14:paraId="5794D5A3" w14:textId="77777777" w:rsidR="003C7CC8" w:rsidRDefault="00000000">
            <w:pPr>
              <w:numPr>
                <w:ilvl w:val="0"/>
                <w:numId w:val="3"/>
              </w:numPr>
              <w:pBdr>
                <w:top w:val="nil"/>
                <w:left w:val="nil"/>
                <w:bottom w:val="nil"/>
                <w:right w:val="nil"/>
                <w:between w:val="nil"/>
              </w:pBdr>
              <w:rPr>
                <w:rFonts w:ascii="Calibri" w:eastAsia="Calibri" w:hAnsi="Calibri" w:cs="Calibri"/>
                <w:color w:val="000000"/>
              </w:rPr>
            </w:pPr>
            <w:r w:rsidRPr="009C5ED4">
              <w:rPr>
                <w:rFonts w:ascii="Calibri" w:eastAsia="Calibri" w:hAnsi="Calibri" w:cs="Calibri"/>
                <w:color w:val="000000"/>
              </w:rPr>
              <w:t>Applied Computer Science in psychology and cognitive science (Introduction to R)</w:t>
            </w:r>
          </w:p>
        </w:tc>
      </w:tr>
      <w:tr w:rsidR="003C7CC8" w14:paraId="2A57FB28" w14:textId="77777777">
        <w:trPr>
          <w:jc w:val="center"/>
        </w:trPr>
        <w:tc>
          <w:tcPr>
            <w:tcW w:w="1985" w:type="dxa"/>
          </w:tcPr>
          <w:p w14:paraId="0FC45852" w14:textId="77777777" w:rsidR="003C7CC8"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4.2 of skills</w:t>
            </w:r>
          </w:p>
        </w:tc>
        <w:tc>
          <w:tcPr>
            <w:tcW w:w="8222" w:type="dxa"/>
          </w:tcPr>
          <w:p w14:paraId="7A7D0C90" w14:textId="77777777" w:rsidR="003C7CC8" w:rsidRDefault="00000000">
            <w:pPr>
              <w:numPr>
                <w:ilvl w:val="0"/>
                <w:numId w:val="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To meaningfully engage with the content of this course, students need to have a fundamental understanding of basic statistical approaches. Furthermore, students need to have experience and a minimum level of competency in implementing these basic procedures in Jamovi and R. </w:t>
            </w:r>
          </w:p>
        </w:tc>
      </w:tr>
    </w:tbl>
    <w:p w14:paraId="0C4AF757" w14:textId="77777777" w:rsidR="003C7CC8" w:rsidRDefault="003C7CC8">
      <w:pPr>
        <w:rPr>
          <w:rFonts w:ascii="Calibri" w:eastAsia="Calibri" w:hAnsi="Calibri" w:cs="Calibri"/>
          <w:sz w:val="20"/>
          <w:szCs w:val="20"/>
        </w:rPr>
      </w:pPr>
    </w:p>
    <w:p w14:paraId="32FF74DC" w14:textId="77777777" w:rsidR="003C7CC8" w:rsidRDefault="00000000">
      <w:pPr>
        <w:numPr>
          <w:ilvl w:val="0"/>
          <w:numId w:val="1"/>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Conditions (where applicable)</w:t>
      </w:r>
    </w:p>
    <w:tbl>
      <w:tblPr>
        <w:tblStyle w:val="ac"/>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70"/>
        <w:gridCol w:w="6237"/>
      </w:tblGrid>
      <w:tr w:rsidR="003C7CC8" w14:paraId="74519E0C" w14:textId="77777777">
        <w:trPr>
          <w:jc w:val="center"/>
        </w:trPr>
        <w:tc>
          <w:tcPr>
            <w:tcW w:w="3970" w:type="dxa"/>
            <w:vAlign w:val="center"/>
          </w:tcPr>
          <w:p w14:paraId="0D32F4DD" w14:textId="77777777" w:rsidR="003C7CC8" w:rsidRDefault="00000000">
            <w:p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b/>
                <w:bCs/>
                <w:color w:val="000000"/>
              </w:rPr>
              <w:t>5.1 for the course</w:t>
            </w:r>
          </w:p>
        </w:tc>
        <w:tc>
          <w:tcPr>
            <w:tcW w:w="6237" w:type="dxa"/>
            <w:vAlign w:val="center"/>
          </w:tcPr>
          <w:p w14:paraId="76E88D10" w14:textId="77777777" w:rsidR="003C7CC8" w:rsidRDefault="00000000">
            <w:pPr>
              <w:numPr>
                <w:ilvl w:val="0"/>
                <w:numId w:val="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Google Classroom code: 5e3p5ob2</w:t>
            </w:r>
          </w:p>
          <w:p w14:paraId="5278834A" w14:textId="77777777" w:rsidR="003C7CC8" w:rsidRDefault="00000000">
            <w:pPr>
              <w:numPr>
                <w:ilvl w:val="0"/>
                <w:numId w:val="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 minimum of 50% of the total course attendance is required for sitting the exam in the A-II session</w:t>
            </w:r>
          </w:p>
        </w:tc>
      </w:tr>
      <w:tr w:rsidR="003C7CC8" w14:paraId="475D1F90" w14:textId="77777777">
        <w:trPr>
          <w:trHeight w:val="79"/>
          <w:jc w:val="center"/>
        </w:trPr>
        <w:tc>
          <w:tcPr>
            <w:tcW w:w="3970" w:type="dxa"/>
            <w:vAlign w:val="center"/>
          </w:tcPr>
          <w:p w14:paraId="7A292F56" w14:textId="77777777" w:rsidR="003C7CC8" w:rsidRDefault="00000000">
            <w:pPr>
              <w:numPr>
                <w:ilvl w:val="1"/>
                <w:numId w:val="2"/>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b/>
                <w:bCs/>
                <w:color w:val="000000"/>
              </w:rPr>
              <w:t>for the seminar</w:t>
            </w:r>
          </w:p>
        </w:tc>
        <w:tc>
          <w:tcPr>
            <w:tcW w:w="6237" w:type="dxa"/>
            <w:vAlign w:val="center"/>
          </w:tcPr>
          <w:p w14:paraId="1909F58C" w14:textId="77777777" w:rsidR="003C7CC8" w:rsidRDefault="00000000">
            <w:pPr>
              <w:numPr>
                <w:ilvl w:val="0"/>
                <w:numId w:val="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Google Classroom code: 5e3p5ob2</w:t>
            </w:r>
          </w:p>
          <w:p w14:paraId="2E1DC6B7" w14:textId="77777777" w:rsidR="003C7CC8" w:rsidRDefault="00000000">
            <w:pPr>
              <w:numPr>
                <w:ilvl w:val="0"/>
                <w:numId w:val="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 minimum of 70% of the total seminar attendance (50% for students with frequency reduction accepted by the Dean’s office) is required for sitting the exam in the A-II session</w:t>
            </w:r>
          </w:p>
        </w:tc>
      </w:tr>
    </w:tbl>
    <w:p w14:paraId="5A90C348" w14:textId="77777777" w:rsidR="003C7CC8" w:rsidRDefault="003C7CC8">
      <w:pPr>
        <w:rPr>
          <w:rFonts w:ascii="Calibri" w:eastAsia="Calibri" w:hAnsi="Calibri" w:cs="Calibri"/>
        </w:rPr>
      </w:pPr>
    </w:p>
    <w:p w14:paraId="7EA0978A" w14:textId="77777777" w:rsidR="003C7CC8" w:rsidRDefault="00000000">
      <w:pPr>
        <w:numPr>
          <w:ilvl w:val="0"/>
          <w:numId w:val="1"/>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Discipline objectives - expected learning outcomes which contribute to the completion and passing the discipline</w:t>
      </w:r>
    </w:p>
    <w:tbl>
      <w:tblPr>
        <w:tblStyle w:val="ad"/>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8227"/>
      </w:tblGrid>
      <w:tr w:rsidR="003C7CC8" w14:paraId="7C5764AC" w14:textId="77777777">
        <w:trPr>
          <w:cantSplit/>
          <w:trHeight w:val="827"/>
          <w:jc w:val="center"/>
        </w:trPr>
        <w:tc>
          <w:tcPr>
            <w:tcW w:w="1980" w:type="dxa"/>
            <w:vAlign w:val="center"/>
          </w:tcPr>
          <w:p w14:paraId="71E28908"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Knowledge</w:t>
            </w:r>
          </w:p>
        </w:tc>
        <w:tc>
          <w:tcPr>
            <w:tcW w:w="8227" w:type="dxa"/>
            <w:vAlign w:val="center"/>
          </w:tcPr>
          <w:p w14:paraId="1AAFFA82" w14:textId="77777777" w:rsidR="003C7CC8" w:rsidRDefault="00000000">
            <w:pPr>
              <w:rPr>
                <w:rFonts w:ascii="Calibri" w:eastAsia="Calibri" w:hAnsi="Calibri" w:cs="Calibri"/>
                <w:i/>
                <w:iCs/>
                <w:color w:val="000000"/>
                <w:sz w:val="22"/>
                <w:szCs w:val="22"/>
              </w:rPr>
            </w:pPr>
            <w:r>
              <w:rPr>
                <w:rFonts w:ascii="Calibri" w:eastAsia="Calibri" w:hAnsi="Calibri" w:cs="Calibri"/>
                <w:i/>
                <w:iCs/>
                <w:color w:val="000000"/>
                <w:sz w:val="22"/>
                <w:szCs w:val="22"/>
              </w:rPr>
              <w:t>Designing and carrying out psychological research:</w:t>
            </w:r>
          </w:p>
          <w:p w14:paraId="6C2A17C7" w14:textId="77777777" w:rsidR="003C7CC8" w:rsidRDefault="00000000">
            <w:pPr>
              <w:rPr>
                <w:rFonts w:ascii="Calibri" w:eastAsia="Calibri" w:hAnsi="Calibri" w:cs="Calibri"/>
                <w:color w:val="000000"/>
                <w:sz w:val="22"/>
                <w:szCs w:val="22"/>
              </w:rPr>
            </w:pPr>
            <w:r>
              <w:rPr>
                <w:rFonts w:ascii="Calibri" w:eastAsia="Calibri" w:hAnsi="Calibri" w:cs="Calibri"/>
                <w:color w:val="000000"/>
                <w:sz w:val="22"/>
                <w:szCs w:val="22"/>
              </w:rPr>
              <w:t>a) formulate hypotheses and operationalize key concepts to explain and interpret the phenomena that people face in their personal or professional lives;</w:t>
            </w:r>
          </w:p>
          <w:p w14:paraId="25DF233B" w14:textId="77777777" w:rsidR="003C7CC8" w:rsidRDefault="00000000">
            <w:pPr>
              <w:jc w:val="both"/>
              <w:rPr>
                <w:rFonts w:ascii="Calibri" w:eastAsia="Calibri" w:hAnsi="Calibri" w:cs="Calibri"/>
              </w:rPr>
            </w:pPr>
            <w:r>
              <w:rPr>
                <w:rFonts w:ascii="Calibri" w:eastAsia="Calibri" w:hAnsi="Calibri" w:cs="Calibri"/>
                <w:color w:val="000000"/>
                <w:sz w:val="22"/>
                <w:szCs w:val="22"/>
              </w:rPr>
              <w:t xml:space="preserve">b) explain and interpret psychological phenomena and processes by applying knowledge about scientific methods to uncover and understand such phenomena. </w:t>
            </w:r>
          </w:p>
        </w:tc>
      </w:tr>
      <w:tr w:rsidR="003C7CC8" w14:paraId="154A1D29" w14:textId="77777777">
        <w:trPr>
          <w:cantSplit/>
          <w:trHeight w:val="712"/>
          <w:jc w:val="center"/>
        </w:trPr>
        <w:tc>
          <w:tcPr>
            <w:tcW w:w="1980" w:type="dxa"/>
            <w:vAlign w:val="center"/>
          </w:tcPr>
          <w:p w14:paraId="3FBE1D4F"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Skills</w:t>
            </w:r>
          </w:p>
        </w:tc>
        <w:tc>
          <w:tcPr>
            <w:tcW w:w="8227" w:type="dxa"/>
            <w:vAlign w:val="center"/>
          </w:tcPr>
          <w:p w14:paraId="7B773F3B" w14:textId="77777777" w:rsidR="003C7CC8" w:rsidRDefault="00000000">
            <w:pPr>
              <w:rPr>
                <w:rFonts w:ascii="Calibri" w:eastAsia="Calibri" w:hAnsi="Calibri" w:cs="Calibri"/>
                <w:i/>
                <w:iCs/>
                <w:sz w:val="22"/>
                <w:szCs w:val="22"/>
              </w:rPr>
            </w:pPr>
            <w:r>
              <w:rPr>
                <w:rFonts w:ascii="Calibri" w:eastAsia="Calibri" w:hAnsi="Calibri" w:cs="Calibri"/>
                <w:i/>
                <w:iCs/>
                <w:sz w:val="22"/>
                <w:szCs w:val="22"/>
              </w:rPr>
              <w:t>Critical assessment of problem situations and possible solutions in psychology</w:t>
            </w:r>
          </w:p>
          <w:p w14:paraId="28C1AAFA" w14:textId="77777777" w:rsidR="003C7CC8" w:rsidRDefault="00000000">
            <w:pPr>
              <w:rPr>
                <w:rFonts w:ascii="Calibri" w:eastAsia="Calibri" w:hAnsi="Calibri" w:cs="Calibri"/>
                <w:sz w:val="22"/>
                <w:szCs w:val="22"/>
              </w:rPr>
            </w:pPr>
            <w:r>
              <w:rPr>
                <w:rFonts w:ascii="Calibri" w:eastAsia="Calibri" w:hAnsi="Calibri" w:cs="Calibri"/>
                <w:sz w:val="22"/>
                <w:szCs w:val="22"/>
              </w:rPr>
              <w:t>a) analysis and interpretation of empirical data, critical and constructive assessment of one's own research, and psychological assessment;</w:t>
            </w:r>
          </w:p>
          <w:p w14:paraId="28C90C11" w14:textId="77777777" w:rsidR="003C7CC8" w:rsidRDefault="00000000">
            <w:pPr>
              <w:rPr>
                <w:rFonts w:ascii="Calibri" w:eastAsia="Calibri" w:hAnsi="Calibri" w:cs="Calibri"/>
                <w:sz w:val="22"/>
                <w:szCs w:val="22"/>
              </w:rPr>
            </w:pPr>
            <w:r>
              <w:rPr>
                <w:rFonts w:ascii="Calibri" w:eastAsia="Calibri" w:hAnsi="Calibri" w:cs="Calibri"/>
                <w:sz w:val="22"/>
                <w:szCs w:val="22"/>
              </w:rPr>
              <w:t>b) construction and assessment of psychological indicators relevant to research in the field of psychology;</w:t>
            </w:r>
          </w:p>
          <w:p w14:paraId="43E0BA72" w14:textId="77777777" w:rsidR="003C7CC8" w:rsidRDefault="00000000">
            <w:pPr>
              <w:rPr>
                <w:rFonts w:ascii="Calibri" w:eastAsia="Calibri" w:hAnsi="Calibri" w:cs="Calibri"/>
                <w:sz w:val="22"/>
                <w:szCs w:val="22"/>
              </w:rPr>
            </w:pPr>
            <w:r>
              <w:rPr>
                <w:rFonts w:ascii="Calibri" w:eastAsia="Calibri" w:hAnsi="Calibri" w:cs="Calibri"/>
                <w:sz w:val="22"/>
                <w:szCs w:val="22"/>
              </w:rPr>
              <w:t>c) critical interpretation and evaluation of the solutions provided by the referential theory and collected data.</w:t>
            </w:r>
          </w:p>
          <w:p w14:paraId="1F5D9230" w14:textId="77777777" w:rsidR="003C7CC8" w:rsidRDefault="003C7CC8">
            <w:pPr>
              <w:ind w:left="720"/>
              <w:rPr>
                <w:rFonts w:ascii="Calibri" w:eastAsia="Calibri" w:hAnsi="Calibri" w:cs="Calibri"/>
                <w:sz w:val="22"/>
                <w:szCs w:val="22"/>
              </w:rPr>
            </w:pPr>
          </w:p>
          <w:p w14:paraId="63BE0F0E" w14:textId="77777777" w:rsidR="003C7CC8" w:rsidRDefault="00000000">
            <w:pPr>
              <w:rPr>
                <w:rFonts w:ascii="Calibri" w:eastAsia="Calibri" w:hAnsi="Calibri" w:cs="Calibri"/>
                <w:i/>
                <w:iCs/>
                <w:sz w:val="22"/>
                <w:szCs w:val="22"/>
              </w:rPr>
            </w:pPr>
            <w:r>
              <w:rPr>
                <w:rFonts w:ascii="Calibri" w:eastAsia="Calibri" w:hAnsi="Calibri" w:cs="Calibri"/>
                <w:i/>
                <w:iCs/>
                <w:sz w:val="22"/>
                <w:szCs w:val="22"/>
              </w:rPr>
              <w:t>Forming a creative-innovative approach to the field of psychology as a science:</w:t>
            </w:r>
          </w:p>
          <w:p w14:paraId="0D548134" w14:textId="77777777" w:rsidR="003C7CC8" w:rsidRDefault="00000000">
            <w:pPr>
              <w:rPr>
                <w:rFonts w:ascii="Calibri" w:eastAsia="Calibri" w:hAnsi="Calibri" w:cs="Calibri"/>
                <w:sz w:val="22"/>
                <w:szCs w:val="22"/>
              </w:rPr>
            </w:pPr>
            <w:r>
              <w:rPr>
                <w:rFonts w:ascii="Calibri" w:eastAsia="Calibri" w:hAnsi="Calibri" w:cs="Calibri"/>
                <w:sz w:val="22"/>
                <w:szCs w:val="22"/>
              </w:rPr>
              <w:t>a) to develop a complex psychological research project based on the main psychological paradigms and theories acquired, including the argumentation of the methods, techniques, procedures, and tools applied;</w:t>
            </w:r>
          </w:p>
          <w:p w14:paraId="7DED57B1" w14:textId="77777777" w:rsidR="003C7CC8" w:rsidRDefault="00000000">
            <w:pPr>
              <w:jc w:val="both"/>
              <w:rPr>
                <w:rFonts w:ascii="Calibri" w:eastAsia="Calibri" w:hAnsi="Calibri" w:cs="Calibri"/>
              </w:rPr>
            </w:pPr>
            <w:r>
              <w:rPr>
                <w:rFonts w:ascii="Calibri" w:eastAsia="Calibri" w:hAnsi="Calibri" w:cs="Calibri"/>
                <w:sz w:val="22"/>
                <w:szCs w:val="22"/>
              </w:rPr>
              <w:t>b) to create and manage databases with psychological variables.</w:t>
            </w:r>
          </w:p>
        </w:tc>
      </w:tr>
      <w:tr w:rsidR="003C7CC8" w14:paraId="1500EECC" w14:textId="77777777">
        <w:trPr>
          <w:cantSplit/>
          <w:trHeight w:val="978"/>
          <w:jc w:val="center"/>
        </w:trPr>
        <w:tc>
          <w:tcPr>
            <w:tcW w:w="1980" w:type="dxa"/>
            <w:vAlign w:val="center"/>
          </w:tcPr>
          <w:p w14:paraId="574D6B1C"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Responsibility and autonomy</w:t>
            </w:r>
          </w:p>
        </w:tc>
        <w:tc>
          <w:tcPr>
            <w:tcW w:w="8227" w:type="dxa"/>
            <w:vAlign w:val="center"/>
          </w:tcPr>
          <w:p w14:paraId="5012FA5F" w14:textId="77777777" w:rsidR="003C7CC8" w:rsidRDefault="00000000">
            <w:pPr>
              <w:rPr>
                <w:rFonts w:ascii="Calibri" w:eastAsia="Calibri" w:hAnsi="Calibri" w:cs="Calibri"/>
                <w:i/>
                <w:iCs/>
                <w:sz w:val="22"/>
                <w:szCs w:val="22"/>
              </w:rPr>
            </w:pPr>
            <w:r>
              <w:rPr>
                <w:rFonts w:ascii="Calibri" w:eastAsia="Calibri" w:hAnsi="Calibri" w:cs="Calibri"/>
                <w:i/>
                <w:iCs/>
                <w:sz w:val="22"/>
                <w:szCs w:val="22"/>
              </w:rPr>
              <w:t>Graduates should be able to demonstrate that:</w:t>
            </w:r>
          </w:p>
          <w:p w14:paraId="031BE941" w14:textId="77777777" w:rsidR="003C7CC8" w:rsidRDefault="00000000">
            <w:pPr>
              <w:rPr>
                <w:rFonts w:ascii="Calibri" w:eastAsia="Calibri" w:hAnsi="Calibri" w:cs="Calibri"/>
                <w:sz w:val="22"/>
                <w:szCs w:val="22"/>
              </w:rPr>
            </w:pPr>
            <w:r>
              <w:rPr>
                <w:rFonts w:ascii="Calibri" w:eastAsia="Calibri" w:hAnsi="Calibri" w:cs="Calibri"/>
                <w:sz w:val="22"/>
                <w:szCs w:val="22"/>
              </w:rPr>
              <w:t>a) have mastered the ability to work independently (possibly with minimal guidance) to obtain the information (bibliographic, case studies, theories, best practice guides, etc.) necessary to perform a specific task associated with one of the studied fields;</w:t>
            </w:r>
          </w:p>
          <w:p w14:paraId="60D014D0" w14:textId="77777777" w:rsidR="003C7CC8" w:rsidRDefault="00000000">
            <w:pPr>
              <w:rPr>
                <w:rFonts w:ascii="Calibri" w:eastAsia="Calibri" w:hAnsi="Calibri" w:cs="Calibri"/>
                <w:sz w:val="22"/>
                <w:szCs w:val="22"/>
              </w:rPr>
            </w:pPr>
            <w:r>
              <w:rPr>
                <w:rFonts w:ascii="Calibri" w:eastAsia="Calibri" w:hAnsi="Calibri" w:cs="Calibri"/>
                <w:sz w:val="22"/>
                <w:szCs w:val="22"/>
              </w:rPr>
              <w:t>b) have the ability to identify their own learning sources and resources;</w:t>
            </w:r>
          </w:p>
          <w:p w14:paraId="29BB643B" w14:textId="77777777" w:rsidR="003C7CC8" w:rsidRDefault="00000000">
            <w:pPr>
              <w:jc w:val="both"/>
              <w:rPr>
                <w:rFonts w:ascii="Calibri" w:eastAsia="Calibri" w:hAnsi="Calibri" w:cs="Calibri"/>
              </w:rPr>
            </w:pPr>
            <w:r>
              <w:rPr>
                <w:rFonts w:ascii="Calibri" w:eastAsia="Calibri" w:hAnsi="Calibri" w:cs="Calibri"/>
                <w:sz w:val="22"/>
                <w:szCs w:val="22"/>
              </w:rPr>
              <w:t>c) they have the ability to reflect on the progress made in the learning process.</w:t>
            </w:r>
          </w:p>
        </w:tc>
      </w:tr>
    </w:tbl>
    <w:p w14:paraId="5FD5C6E6" w14:textId="77777777" w:rsidR="003C7CC8" w:rsidRDefault="003C7CC8">
      <w:pPr>
        <w:rPr>
          <w:rFonts w:ascii="Calibri" w:eastAsia="Calibri" w:hAnsi="Calibri" w:cs="Calibri"/>
          <w:sz w:val="20"/>
          <w:szCs w:val="20"/>
        </w:rPr>
      </w:pPr>
    </w:p>
    <w:p w14:paraId="273C47A3" w14:textId="77777777" w:rsidR="003C7CC8" w:rsidRDefault="00000000">
      <w:pPr>
        <w:numPr>
          <w:ilvl w:val="0"/>
          <w:numId w:val="1"/>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Contents</w:t>
      </w:r>
    </w:p>
    <w:p w14:paraId="4E950923" w14:textId="77777777" w:rsidR="003C7CC8" w:rsidRDefault="00000000">
      <w:pPr>
        <w:pBdr>
          <w:top w:val="nil"/>
          <w:left w:val="nil"/>
          <w:bottom w:val="nil"/>
          <w:right w:val="nil"/>
          <w:between w:val="nil"/>
        </w:pBdr>
        <w:spacing w:line="276" w:lineRule="auto"/>
        <w:ind w:left="720"/>
        <w:jc w:val="both"/>
        <w:rPr>
          <w:rFonts w:ascii="Calibri" w:eastAsia="Calibri" w:hAnsi="Calibri" w:cs="Calibri"/>
          <w:color w:val="000000"/>
        </w:rPr>
      </w:pPr>
      <w:r>
        <w:rPr>
          <w:rFonts w:ascii="Calibri" w:eastAsia="Calibri" w:hAnsi="Calibri" w:cs="Calibri"/>
          <w:color w:val="000000"/>
        </w:rPr>
        <w:lastRenderedPageBreak/>
        <w:t>The platform through which the course materials in electronic format and other learning/bibliographic resources can be accessed: Google Classroom</w:t>
      </w:r>
    </w:p>
    <w:tbl>
      <w:tblPr>
        <w:tblStyle w:val="ae"/>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1980"/>
        <w:gridCol w:w="5166"/>
      </w:tblGrid>
      <w:tr w:rsidR="003C7CC8" w14:paraId="46479138"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468C6426"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7.1 Course</w:t>
            </w:r>
          </w:p>
        </w:tc>
        <w:tc>
          <w:tcPr>
            <w:tcW w:w="1980" w:type="dxa"/>
            <w:tcBorders>
              <w:top w:val="single" w:sz="4" w:space="0" w:color="000000"/>
              <w:left w:val="single" w:sz="4" w:space="0" w:color="000000"/>
              <w:bottom w:val="single" w:sz="4" w:space="0" w:color="000000"/>
              <w:right w:val="single" w:sz="4" w:space="0" w:color="000000"/>
            </w:tcBorders>
          </w:tcPr>
          <w:p w14:paraId="12EAD6E1"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Teaching methods</w:t>
            </w:r>
          </w:p>
        </w:tc>
        <w:tc>
          <w:tcPr>
            <w:tcW w:w="5166" w:type="dxa"/>
            <w:tcBorders>
              <w:top w:val="single" w:sz="4" w:space="0" w:color="000000"/>
              <w:left w:val="single" w:sz="4" w:space="0" w:color="000000"/>
              <w:bottom w:val="single" w:sz="4" w:space="0" w:color="000000"/>
              <w:right w:val="single" w:sz="4" w:space="0" w:color="000000"/>
            </w:tcBorders>
          </w:tcPr>
          <w:p w14:paraId="56423DBE"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Comments</w:t>
            </w:r>
          </w:p>
        </w:tc>
      </w:tr>
      <w:tr w:rsidR="003C7CC8" w14:paraId="46B61D4A"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429ADA19"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C1. Introductory course</w:t>
            </w:r>
          </w:p>
        </w:tc>
        <w:tc>
          <w:tcPr>
            <w:tcW w:w="1980" w:type="dxa"/>
            <w:tcBorders>
              <w:top w:val="single" w:sz="4" w:space="0" w:color="000000"/>
              <w:left w:val="single" w:sz="4" w:space="0" w:color="000000"/>
              <w:bottom w:val="single" w:sz="4" w:space="0" w:color="000000"/>
              <w:right w:val="single" w:sz="4" w:space="0" w:color="000000"/>
            </w:tcBorders>
          </w:tcPr>
          <w:p w14:paraId="49ADD93B"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2D7398B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Revisiting the fundamentals of hypothesis testing</w:t>
            </w:r>
          </w:p>
        </w:tc>
      </w:tr>
      <w:tr w:rsidR="003C7CC8" w14:paraId="63C2F6CB"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538E68F0"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C2. Foundations of the General Linear Model (GLM)</w:t>
            </w:r>
          </w:p>
        </w:tc>
        <w:tc>
          <w:tcPr>
            <w:tcW w:w="1980" w:type="dxa"/>
            <w:tcBorders>
              <w:top w:val="single" w:sz="4" w:space="0" w:color="000000"/>
              <w:left w:val="single" w:sz="4" w:space="0" w:color="000000"/>
              <w:bottom w:val="single" w:sz="4" w:space="0" w:color="000000"/>
              <w:right w:val="single" w:sz="4" w:space="0" w:color="000000"/>
            </w:tcBorders>
          </w:tcPr>
          <w:p w14:paraId="195C9CDA"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10FA0C9F"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To read: Darlington, R. B., &amp; Hayes, A. F. (2017). Regression Analysis and Linear Models. Concepts, Applications, and Implementation. Guilford Press. (Chapter 1: Statistical Control and Linear Models; pp. 1-16 &amp; Chapter 4: Statistical Inference in Regression; pp. 85-123).</w:t>
            </w:r>
          </w:p>
        </w:tc>
      </w:tr>
      <w:tr w:rsidR="003C7CC8" w14:paraId="7BF8F1CE"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4982AB14"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 xml:space="preserve">C3. </w:t>
            </w:r>
            <w:r>
              <w:rPr>
                <w:rFonts w:ascii="Calibri" w:eastAsia="Calibri" w:hAnsi="Calibri" w:cs="Calibri"/>
                <w:b/>
                <w:bCs/>
              </w:rPr>
              <w:t>GLM with dichotomous predictors</w:t>
            </w:r>
          </w:p>
        </w:tc>
        <w:tc>
          <w:tcPr>
            <w:tcW w:w="1980" w:type="dxa"/>
            <w:tcBorders>
              <w:top w:val="single" w:sz="4" w:space="0" w:color="000000"/>
              <w:left w:val="single" w:sz="4" w:space="0" w:color="000000"/>
              <w:bottom w:val="single" w:sz="4" w:space="0" w:color="000000"/>
              <w:right w:val="single" w:sz="4" w:space="0" w:color="000000"/>
            </w:tcBorders>
          </w:tcPr>
          <w:p w14:paraId="34E9F63C"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0E9818B8"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To read: Darlington, R. B., &amp; Hayes, A. F. (2017). Regression Analysis and Linear Models. Concepts, Applications, and Implementation. Guilford Press. (Chapter 5: Extending Regression Analysis Principles; pp. 125-156).</w:t>
            </w:r>
          </w:p>
        </w:tc>
      </w:tr>
      <w:tr w:rsidR="003C7CC8" w14:paraId="4388D8E9"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8615710"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C4. GLM with multicategorical predictors and covariates</w:t>
            </w:r>
          </w:p>
        </w:tc>
        <w:tc>
          <w:tcPr>
            <w:tcW w:w="1980" w:type="dxa"/>
            <w:tcBorders>
              <w:top w:val="single" w:sz="4" w:space="0" w:color="000000"/>
              <w:left w:val="single" w:sz="4" w:space="0" w:color="000000"/>
              <w:bottom w:val="single" w:sz="4" w:space="0" w:color="000000"/>
              <w:right w:val="single" w:sz="4" w:space="0" w:color="000000"/>
            </w:tcBorders>
          </w:tcPr>
          <w:p w14:paraId="6955B197"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178AD137"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To read: Darlington, R. B., &amp; Hayes, A. F. (2017). Regression Analysis and Linear Models. Concepts, Applications, and Implementation. Guilford Press. (Chapter 9: Multicategorical Regressors; pp. 243-273).</w:t>
            </w:r>
          </w:p>
        </w:tc>
      </w:tr>
      <w:tr w:rsidR="003C7CC8" w14:paraId="6B379DC8"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73F649B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 xml:space="preserve">C5. </w:t>
            </w:r>
            <w:r>
              <w:rPr>
                <w:rFonts w:ascii="Calibri" w:eastAsia="Calibri" w:hAnsi="Calibri" w:cs="Calibri"/>
                <w:b/>
                <w:bCs/>
              </w:rPr>
              <w:t>GLM and unbalanced designs: Type I, II, III sum of squares</w:t>
            </w:r>
          </w:p>
        </w:tc>
        <w:tc>
          <w:tcPr>
            <w:tcW w:w="1980" w:type="dxa"/>
            <w:tcBorders>
              <w:top w:val="single" w:sz="4" w:space="0" w:color="000000"/>
              <w:left w:val="single" w:sz="4" w:space="0" w:color="000000"/>
              <w:bottom w:val="single" w:sz="4" w:space="0" w:color="000000"/>
              <w:right w:val="single" w:sz="4" w:space="0" w:color="000000"/>
            </w:tcBorders>
          </w:tcPr>
          <w:p w14:paraId="4A77FBD4"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7804CCF4"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To read:</w:t>
            </w:r>
            <w:r>
              <w:rPr>
                <w:rFonts w:ascii="Calibri" w:eastAsia="Calibri" w:hAnsi="Calibri" w:cs="Calibri"/>
                <w:b/>
                <w:bCs/>
                <w:color w:val="000000"/>
              </w:rPr>
              <w:t xml:space="preserve"> </w:t>
            </w:r>
            <w:r>
              <w:rPr>
                <w:rFonts w:ascii="Calibri" w:eastAsia="Calibri" w:hAnsi="Calibri" w:cs="Calibri"/>
                <w:color w:val="000000"/>
              </w:rPr>
              <w:t xml:space="preserve">Navarro, D. J., &amp; Foxcroft, D. R. (2025). </w:t>
            </w:r>
            <w:r>
              <w:rPr>
                <w:rFonts w:ascii="Calibri" w:eastAsia="Calibri" w:hAnsi="Calibri" w:cs="Calibri"/>
                <w:i/>
                <w:iCs/>
                <w:color w:val="000000"/>
              </w:rPr>
              <w:t>Learning statistics with Jamovi: A tutorial for beginners in statistical analysis</w:t>
            </w:r>
            <w:r>
              <w:rPr>
                <w:rFonts w:ascii="Calibri" w:eastAsia="Calibri" w:hAnsi="Calibri" w:cs="Calibri"/>
                <w:color w:val="000000"/>
              </w:rPr>
              <w:t>. Open Book Publishers. (Chapter 14: Factorial ANOVA; pp. 325-376).</w:t>
            </w:r>
          </w:p>
        </w:tc>
      </w:tr>
      <w:tr w:rsidR="003C7CC8" w14:paraId="16E9442C"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4FACE649"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C6. Comprehensive Review</w:t>
            </w:r>
          </w:p>
        </w:tc>
        <w:tc>
          <w:tcPr>
            <w:tcW w:w="1980" w:type="dxa"/>
            <w:tcBorders>
              <w:top w:val="single" w:sz="4" w:space="0" w:color="000000"/>
              <w:left w:val="single" w:sz="4" w:space="0" w:color="000000"/>
              <w:bottom w:val="single" w:sz="4" w:space="0" w:color="000000"/>
              <w:right w:val="single" w:sz="4" w:space="0" w:color="000000"/>
            </w:tcBorders>
          </w:tcPr>
          <w:p w14:paraId="370B5643"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48F916B7"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Recapitulative module</w:t>
            </w:r>
          </w:p>
        </w:tc>
      </w:tr>
      <w:tr w:rsidR="003C7CC8" w14:paraId="054064E9"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0DE90FB9"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C8. Mediation Analysis</w:t>
            </w:r>
          </w:p>
        </w:tc>
        <w:tc>
          <w:tcPr>
            <w:tcW w:w="1980" w:type="dxa"/>
            <w:tcBorders>
              <w:top w:val="single" w:sz="4" w:space="0" w:color="000000"/>
              <w:left w:val="single" w:sz="4" w:space="0" w:color="000000"/>
              <w:bottom w:val="single" w:sz="4" w:space="0" w:color="000000"/>
              <w:right w:val="single" w:sz="4" w:space="0" w:color="000000"/>
            </w:tcBorders>
          </w:tcPr>
          <w:p w14:paraId="410CE77A"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271900CC"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color w:val="000000"/>
              </w:rPr>
              <w:t xml:space="preserve">To read: Hayes, A. F. (2022). </w:t>
            </w:r>
            <w:r>
              <w:rPr>
                <w:rFonts w:ascii="Calibri" w:eastAsia="Calibri" w:hAnsi="Calibri" w:cs="Calibri"/>
                <w:i/>
                <w:iCs/>
                <w:color w:val="000000"/>
              </w:rPr>
              <w:t>Introduction to Mediation, Moderation, and Conditional Process Analysis. A regression-based approach</w:t>
            </w:r>
            <w:r>
              <w:rPr>
                <w:rFonts w:ascii="Calibri" w:eastAsia="Calibri" w:hAnsi="Calibri" w:cs="Calibri"/>
                <w:color w:val="000000"/>
              </w:rPr>
              <w:t xml:space="preserve"> (3</w:t>
            </w:r>
            <w:r>
              <w:rPr>
                <w:rFonts w:ascii="Calibri" w:eastAsia="Calibri" w:hAnsi="Calibri" w:cs="Calibri"/>
                <w:color w:val="000000"/>
                <w:vertAlign w:val="superscript"/>
              </w:rPr>
              <w:t>rd</w:t>
            </w:r>
            <w:r>
              <w:rPr>
                <w:rFonts w:ascii="Calibri" w:eastAsia="Calibri" w:hAnsi="Calibri" w:cs="Calibri"/>
                <w:color w:val="000000"/>
              </w:rPr>
              <w:t xml:space="preserve"> edition). Guilford Press. (Chapter 3: The Simple Mediation Model; pp. 29-78).</w:t>
            </w:r>
          </w:p>
        </w:tc>
      </w:tr>
      <w:tr w:rsidR="003C7CC8" w14:paraId="262C2067"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26BE71C"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C9. Moderation Analysis</w:t>
            </w:r>
          </w:p>
        </w:tc>
        <w:tc>
          <w:tcPr>
            <w:tcW w:w="1980" w:type="dxa"/>
            <w:tcBorders>
              <w:top w:val="single" w:sz="4" w:space="0" w:color="000000"/>
              <w:left w:val="single" w:sz="4" w:space="0" w:color="000000"/>
              <w:bottom w:val="single" w:sz="4" w:space="0" w:color="000000"/>
              <w:right w:val="single" w:sz="4" w:space="0" w:color="000000"/>
            </w:tcBorders>
          </w:tcPr>
          <w:p w14:paraId="508DD3F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6C08BC49"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 xml:space="preserve">To read: Hayes, A. F. (2022). </w:t>
            </w:r>
            <w:r>
              <w:rPr>
                <w:rFonts w:ascii="Calibri" w:eastAsia="Calibri" w:hAnsi="Calibri" w:cs="Calibri"/>
                <w:i/>
                <w:iCs/>
                <w:color w:val="000000"/>
              </w:rPr>
              <w:t>Introduction to Mediation, Moderation, and Conditional Process Analysis. A regression-based approach</w:t>
            </w:r>
            <w:r>
              <w:rPr>
                <w:rFonts w:ascii="Calibri" w:eastAsia="Calibri" w:hAnsi="Calibri" w:cs="Calibri"/>
                <w:color w:val="000000"/>
              </w:rPr>
              <w:t xml:space="preserve"> (3</w:t>
            </w:r>
            <w:r>
              <w:rPr>
                <w:rFonts w:ascii="Calibri" w:eastAsia="Calibri" w:hAnsi="Calibri" w:cs="Calibri"/>
                <w:color w:val="000000"/>
                <w:vertAlign w:val="superscript"/>
              </w:rPr>
              <w:t>rd</w:t>
            </w:r>
            <w:r>
              <w:rPr>
                <w:rFonts w:ascii="Calibri" w:eastAsia="Calibri" w:hAnsi="Calibri" w:cs="Calibri"/>
                <w:color w:val="000000"/>
              </w:rPr>
              <w:t xml:space="preserve"> edition). Guilford Press. (Chapter 7: Fundamentals of Moderation Analysis; pp. 233-282).</w:t>
            </w:r>
          </w:p>
        </w:tc>
      </w:tr>
      <w:tr w:rsidR="003C7CC8" w14:paraId="1C4E9F75"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05E3C7D8"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C10. Conditional Process Analysis</w:t>
            </w:r>
          </w:p>
        </w:tc>
        <w:tc>
          <w:tcPr>
            <w:tcW w:w="1980" w:type="dxa"/>
            <w:tcBorders>
              <w:top w:val="single" w:sz="4" w:space="0" w:color="000000"/>
              <w:left w:val="single" w:sz="4" w:space="0" w:color="000000"/>
              <w:bottom w:val="single" w:sz="4" w:space="0" w:color="000000"/>
              <w:right w:val="single" w:sz="4" w:space="0" w:color="000000"/>
            </w:tcBorders>
          </w:tcPr>
          <w:p w14:paraId="0E76545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6C8DF07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To read: Hayes, A. F. (2022). </w:t>
            </w:r>
            <w:r>
              <w:rPr>
                <w:rFonts w:ascii="Calibri" w:eastAsia="Calibri" w:hAnsi="Calibri" w:cs="Calibri"/>
                <w:i/>
                <w:iCs/>
                <w:color w:val="000000"/>
              </w:rPr>
              <w:t>Introduction to Mediation, Moderation, and Conditional Process Analysis. A regression-based approach</w:t>
            </w:r>
            <w:r>
              <w:rPr>
                <w:rFonts w:ascii="Calibri" w:eastAsia="Calibri" w:hAnsi="Calibri" w:cs="Calibri"/>
                <w:color w:val="000000"/>
              </w:rPr>
              <w:t xml:space="preserve"> (3</w:t>
            </w:r>
            <w:r>
              <w:rPr>
                <w:rFonts w:ascii="Calibri" w:eastAsia="Calibri" w:hAnsi="Calibri" w:cs="Calibri"/>
                <w:color w:val="000000"/>
                <w:vertAlign w:val="superscript"/>
              </w:rPr>
              <w:t>rd</w:t>
            </w:r>
            <w:r>
              <w:rPr>
                <w:rFonts w:ascii="Calibri" w:eastAsia="Calibri" w:hAnsi="Calibri" w:cs="Calibri"/>
                <w:color w:val="000000"/>
              </w:rPr>
              <w:t xml:space="preserve"> edition). Guilford Press. (Chapter 11: </w:t>
            </w:r>
            <w:r>
              <w:rPr>
                <w:rFonts w:ascii="Calibri" w:eastAsia="Calibri" w:hAnsi="Calibri" w:cs="Calibri"/>
                <w:color w:val="000000"/>
              </w:rPr>
              <w:lastRenderedPageBreak/>
              <w:t>Fundamentals of Conditional Process Analysis; pp. 233-282).</w:t>
            </w:r>
          </w:p>
        </w:tc>
      </w:tr>
      <w:tr w:rsidR="003C7CC8" w14:paraId="1EE70A86"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0F481529"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lastRenderedPageBreak/>
              <w:t>C11. Comprehensive Review</w:t>
            </w:r>
          </w:p>
        </w:tc>
        <w:tc>
          <w:tcPr>
            <w:tcW w:w="1980" w:type="dxa"/>
            <w:tcBorders>
              <w:top w:val="single" w:sz="4" w:space="0" w:color="000000"/>
              <w:left w:val="single" w:sz="4" w:space="0" w:color="000000"/>
              <w:bottom w:val="single" w:sz="4" w:space="0" w:color="000000"/>
              <w:right w:val="single" w:sz="4" w:space="0" w:color="000000"/>
            </w:tcBorders>
          </w:tcPr>
          <w:p w14:paraId="5B608E93"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224A7E96"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Recapitulative module</w:t>
            </w:r>
          </w:p>
        </w:tc>
      </w:tr>
      <w:tr w:rsidR="003C7CC8" w14:paraId="4D277E3C"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208B7BD7"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C12. Introduction to Latent Modeling</w:t>
            </w:r>
          </w:p>
        </w:tc>
        <w:tc>
          <w:tcPr>
            <w:tcW w:w="1980" w:type="dxa"/>
            <w:tcBorders>
              <w:top w:val="single" w:sz="4" w:space="0" w:color="000000"/>
              <w:left w:val="single" w:sz="4" w:space="0" w:color="000000"/>
              <w:bottom w:val="single" w:sz="4" w:space="0" w:color="000000"/>
              <w:right w:val="single" w:sz="4" w:space="0" w:color="000000"/>
            </w:tcBorders>
          </w:tcPr>
          <w:p w14:paraId="221AB3AF"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756C0C79"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To read:</w:t>
            </w:r>
            <w:r>
              <w:rPr>
                <w:rFonts w:ascii="Calibri" w:eastAsia="Calibri" w:hAnsi="Calibri" w:cs="Calibri"/>
                <w:b/>
                <w:bCs/>
                <w:color w:val="000000"/>
              </w:rPr>
              <w:t xml:space="preserve"> </w:t>
            </w:r>
            <w:r>
              <w:rPr>
                <w:rFonts w:ascii="Calibri" w:eastAsia="Calibri" w:hAnsi="Calibri" w:cs="Calibri"/>
                <w:color w:val="000000"/>
              </w:rPr>
              <w:t xml:space="preserve">Navarro, D. J., &amp; Foxcroft, D. R. (2025). </w:t>
            </w:r>
            <w:r>
              <w:rPr>
                <w:rFonts w:ascii="Calibri" w:eastAsia="Calibri" w:hAnsi="Calibri" w:cs="Calibri"/>
                <w:i/>
                <w:iCs/>
                <w:color w:val="000000"/>
              </w:rPr>
              <w:t>Learning statistics with Jamovi: A tutorial for beginners in statistical analysis</w:t>
            </w:r>
            <w:r>
              <w:rPr>
                <w:rFonts w:ascii="Calibri" w:eastAsia="Calibri" w:hAnsi="Calibri" w:cs="Calibri"/>
                <w:color w:val="000000"/>
              </w:rPr>
              <w:t>. Open Book Publishers. (Chapter 15: Factor Analysis; pp. 377-391).</w:t>
            </w:r>
          </w:p>
        </w:tc>
      </w:tr>
      <w:tr w:rsidR="003C7CC8" w14:paraId="399B645B"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7F229C6F" w14:textId="77777777" w:rsidR="003C7CC8" w:rsidRDefault="00000000">
            <w:pPr>
              <w:pBdr>
                <w:top w:val="nil"/>
                <w:left w:val="nil"/>
                <w:bottom w:val="nil"/>
                <w:right w:val="nil"/>
                <w:between w:val="nil"/>
              </w:pBdr>
              <w:jc w:val="both"/>
              <w:rPr>
                <w:rFonts w:ascii="Calibri" w:eastAsia="Calibri" w:hAnsi="Calibri" w:cs="Calibri"/>
                <w:b/>
                <w:bCs/>
                <w:color w:val="000000"/>
              </w:rPr>
            </w:pPr>
            <w:r>
              <w:rPr>
                <w:rFonts w:ascii="Calibri" w:eastAsia="Calibri" w:hAnsi="Calibri" w:cs="Calibri"/>
                <w:b/>
                <w:bCs/>
                <w:color w:val="000000"/>
              </w:rPr>
              <w:t>C13. Principal Component Analysis</w:t>
            </w:r>
          </w:p>
        </w:tc>
        <w:tc>
          <w:tcPr>
            <w:tcW w:w="1980" w:type="dxa"/>
            <w:tcBorders>
              <w:top w:val="single" w:sz="4" w:space="0" w:color="000000"/>
              <w:left w:val="single" w:sz="4" w:space="0" w:color="000000"/>
              <w:bottom w:val="single" w:sz="4" w:space="0" w:color="000000"/>
              <w:right w:val="single" w:sz="4" w:space="0" w:color="000000"/>
            </w:tcBorders>
          </w:tcPr>
          <w:p w14:paraId="6DD849F4"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1D9A0AC2"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To read:</w:t>
            </w:r>
            <w:r>
              <w:rPr>
                <w:rFonts w:ascii="Calibri" w:eastAsia="Calibri" w:hAnsi="Calibri" w:cs="Calibri"/>
                <w:b/>
                <w:bCs/>
                <w:color w:val="000000"/>
              </w:rPr>
              <w:t xml:space="preserve"> </w:t>
            </w:r>
            <w:r>
              <w:rPr>
                <w:rFonts w:ascii="Calibri" w:eastAsia="Calibri" w:hAnsi="Calibri" w:cs="Calibri"/>
                <w:color w:val="000000"/>
              </w:rPr>
              <w:t xml:space="preserve">Navarro, D. J., &amp; Foxcroft, D. R. (2025). </w:t>
            </w:r>
            <w:r>
              <w:rPr>
                <w:rFonts w:ascii="Calibri" w:eastAsia="Calibri" w:hAnsi="Calibri" w:cs="Calibri"/>
                <w:i/>
                <w:iCs/>
                <w:color w:val="000000"/>
              </w:rPr>
              <w:t>Learning statistics with Jamovi: A tutorial for beginners in statistical analysis</w:t>
            </w:r>
            <w:r>
              <w:rPr>
                <w:rFonts w:ascii="Calibri" w:eastAsia="Calibri" w:hAnsi="Calibri" w:cs="Calibri"/>
                <w:color w:val="000000"/>
              </w:rPr>
              <w:t>. Open Book Publishers. (Chapter 15: Factor Analysis; pp. 391-411).</w:t>
            </w:r>
          </w:p>
        </w:tc>
      </w:tr>
      <w:tr w:rsidR="003C7CC8" w14:paraId="495EF730"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965D386" w14:textId="77777777" w:rsidR="003C7CC8" w:rsidRDefault="00000000">
            <w:pPr>
              <w:pBdr>
                <w:top w:val="nil"/>
                <w:left w:val="nil"/>
                <w:bottom w:val="nil"/>
                <w:right w:val="nil"/>
                <w:between w:val="nil"/>
              </w:pBdr>
              <w:jc w:val="both"/>
              <w:rPr>
                <w:rFonts w:ascii="Calibri" w:eastAsia="Calibri" w:hAnsi="Calibri" w:cs="Calibri"/>
                <w:b/>
                <w:bCs/>
                <w:color w:val="000000"/>
              </w:rPr>
            </w:pPr>
            <w:r>
              <w:rPr>
                <w:rFonts w:ascii="Calibri" w:eastAsia="Calibri" w:hAnsi="Calibri" w:cs="Calibri"/>
                <w:b/>
                <w:bCs/>
                <w:color w:val="000000"/>
              </w:rPr>
              <w:t>C14. Confirmatory Factor Analysis</w:t>
            </w:r>
          </w:p>
        </w:tc>
        <w:tc>
          <w:tcPr>
            <w:tcW w:w="1980" w:type="dxa"/>
            <w:tcBorders>
              <w:top w:val="single" w:sz="4" w:space="0" w:color="000000"/>
              <w:left w:val="single" w:sz="4" w:space="0" w:color="000000"/>
              <w:bottom w:val="single" w:sz="4" w:space="0" w:color="000000"/>
              <w:right w:val="single" w:sz="4" w:space="0" w:color="000000"/>
            </w:tcBorders>
          </w:tcPr>
          <w:p w14:paraId="727074B3"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Lecture, demonstration, applications </w:t>
            </w:r>
          </w:p>
        </w:tc>
        <w:tc>
          <w:tcPr>
            <w:tcW w:w="5166" w:type="dxa"/>
            <w:tcBorders>
              <w:top w:val="single" w:sz="4" w:space="0" w:color="000000"/>
              <w:left w:val="single" w:sz="4" w:space="0" w:color="000000"/>
              <w:bottom w:val="single" w:sz="4" w:space="0" w:color="000000"/>
              <w:right w:val="single" w:sz="4" w:space="0" w:color="000000"/>
            </w:tcBorders>
          </w:tcPr>
          <w:p w14:paraId="5F39D9A2"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To read:</w:t>
            </w:r>
            <w:r>
              <w:rPr>
                <w:rFonts w:ascii="Calibri" w:eastAsia="Calibri" w:hAnsi="Calibri" w:cs="Calibri"/>
                <w:b/>
                <w:bCs/>
                <w:color w:val="000000"/>
              </w:rPr>
              <w:t xml:space="preserve"> </w:t>
            </w:r>
            <w:r>
              <w:rPr>
                <w:rFonts w:ascii="Calibri" w:eastAsia="Calibri" w:hAnsi="Calibri" w:cs="Calibri"/>
                <w:color w:val="000000"/>
              </w:rPr>
              <w:t xml:space="preserve">Navarro, D. J., &amp; Foxcroft, D. R. (2025). </w:t>
            </w:r>
            <w:r>
              <w:rPr>
                <w:rFonts w:ascii="Calibri" w:eastAsia="Calibri" w:hAnsi="Calibri" w:cs="Calibri"/>
                <w:i/>
                <w:iCs/>
                <w:color w:val="000000"/>
              </w:rPr>
              <w:t>Learning statistics with Jamovi: A tutorial for beginners in statistical analysis</w:t>
            </w:r>
            <w:r>
              <w:rPr>
                <w:rFonts w:ascii="Calibri" w:eastAsia="Calibri" w:hAnsi="Calibri" w:cs="Calibri"/>
                <w:color w:val="000000"/>
              </w:rPr>
              <w:t>. Open Book Publishers. (Chapter 15: Factor Analysis; pp. 377-391).</w:t>
            </w:r>
          </w:p>
        </w:tc>
      </w:tr>
      <w:tr w:rsidR="003C7CC8" w14:paraId="6CE45D9B" w14:textId="77777777">
        <w:trPr>
          <w:jc w:val="center"/>
        </w:trPr>
        <w:tc>
          <w:tcPr>
            <w:tcW w:w="10201" w:type="dxa"/>
            <w:gridSpan w:val="3"/>
            <w:shd w:val="clear" w:color="auto" w:fill="FFFFFF"/>
          </w:tcPr>
          <w:p w14:paraId="5B3DD663"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Bibliography:</w:t>
            </w:r>
          </w:p>
          <w:p w14:paraId="6E5667A8" w14:textId="77777777" w:rsidR="003C7CC8" w:rsidRDefault="003C7CC8">
            <w:pPr>
              <w:pBdr>
                <w:top w:val="nil"/>
                <w:left w:val="nil"/>
                <w:bottom w:val="nil"/>
                <w:right w:val="nil"/>
                <w:between w:val="nil"/>
              </w:pBdr>
              <w:rPr>
                <w:rFonts w:ascii="Calibri" w:eastAsia="Calibri" w:hAnsi="Calibri" w:cs="Calibri"/>
                <w:b/>
                <w:bCs/>
                <w:color w:val="000000"/>
              </w:rPr>
            </w:pPr>
          </w:p>
          <w:p w14:paraId="03D3941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 xml:space="preserve">Darlington, R. B., &amp; Hayes, A. F. (2017). Regression Analysis and Linear Models. Concepts, Applications, and Implementation. Guilford Press. </w:t>
            </w:r>
          </w:p>
          <w:p w14:paraId="66E5EE94" w14:textId="77777777" w:rsidR="003C7CC8" w:rsidRDefault="003C7CC8">
            <w:pPr>
              <w:pBdr>
                <w:top w:val="nil"/>
                <w:left w:val="nil"/>
                <w:bottom w:val="nil"/>
                <w:right w:val="nil"/>
                <w:between w:val="nil"/>
              </w:pBdr>
              <w:rPr>
                <w:rFonts w:ascii="Calibri" w:eastAsia="Calibri" w:hAnsi="Calibri" w:cs="Calibri"/>
                <w:b/>
                <w:bCs/>
                <w:color w:val="000000"/>
              </w:rPr>
            </w:pPr>
          </w:p>
          <w:p w14:paraId="1DFEA000"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Hayes, A. F. (2022). </w:t>
            </w:r>
            <w:r>
              <w:rPr>
                <w:rFonts w:ascii="Calibri" w:eastAsia="Calibri" w:hAnsi="Calibri" w:cs="Calibri"/>
                <w:i/>
                <w:iCs/>
                <w:color w:val="000000"/>
              </w:rPr>
              <w:t>Introduction to Mediation, Moderation, and Conditional Process Analysis. A regression-based approach</w:t>
            </w:r>
            <w:r>
              <w:rPr>
                <w:rFonts w:ascii="Calibri" w:eastAsia="Calibri" w:hAnsi="Calibri" w:cs="Calibri"/>
                <w:color w:val="000000"/>
              </w:rPr>
              <w:t xml:space="preserve"> (3</w:t>
            </w:r>
            <w:r>
              <w:rPr>
                <w:rFonts w:ascii="Calibri" w:eastAsia="Calibri" w:hAnsi="Calibri" w:cs="Calibri"/>
                <w:color w:val="000000"/>
                <w:vertAlign w:val="superscript"/>
              </w:rPr>
              <w:t>rd</w:t>
            </w:r>
            <w:r>
              <w:rPr>
                <w:rFonts w:ascii="Calibri" w:eastAsia="Calibri" w:hAnsi="Calibri" w:cs="Calibri"/>
                <w:color w:val="000000"/>
              </w:rPr>
              <w:t xml:space="preserve"> edition). Guilford Press.</w:t>
            </w:r>
          </w:p>
          <w:p w14:paraId="4C4CD99F" w14:textId="77777777" w:rsidR="003C7CC8" w:rsidRDefault="003C7CC8">
            <w:pPr>
              <w:pBdr>
                <w:top w:val="nil"/>
                <w:left w:val="nil"/>
                <w:bottom w:val="nil"/>
                <w:right w:val="nil"/>
                <w:between w:val="nil"/>
              </w:pBdr>
              <w:rPr>
                <w:rFonts w:ascii="Calibri" w:eastAsia="Calibri" w:hAnsi="Calibri" w:cs="Calibri"/>
                <w:color w:val="000000"/>
              </w:rPr>
            </w:pPr>
          </w:p>
          <w:p w14:paraId="3B457663"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Navarro, D. J., &amp; Foxcroft, D. R. (2025). </w:t>
            </w:r>
            <w:r>
              <w:rPr>
                <w:rFonts w:ascii="Calibri" w:eastAsia="Calibri" w:hAnsi="Calibri" w:cs="Calibri"/>
                <w:i/>
                <w:iCs/>
                <w:color w:val="000000"/>
              </w:rPr>
              <w:t>Learning statistics with Jamovi: A tutorial for beginners in statistical analysis</w:t>
            </w:r>
            <w:r>
              <w:rPr>
                <w:rFonts w:ascii="Calibri" w:eastAsia="Calibri" w:hAnsi="Calibri" w:cs="Calibri"/>
                <w:color w:val="000000"/>
              </w:rPr>
              <w:t xml:space="preserve">. Open Book Publishers. </w:t>
            </w:r>
            <w:hyperlink r:id="rId8">
              <w:r w:rsidR="003C7CC8">
                <w:rPr>
                  <w:rFonts w:ascii="Calibri" w:eastAsia="Calibri" w:hAnsi="Calibri" w:cs="Calibri"/>
                  <w:color w:val="0000FF"/>
                  <w:u w:val="single"/>
                </w:rPr>
                <w:t>https://doi.org/10.11647/OBP.0333</w:t>
              </w:r>
            </w:hyperlink>
          </w:p>
          <w:p w14:paraId="72DB94B2" w14:textId="77777777" w:rsidR="003C7CC8" w:rsidRDefault="003C7CC8">
            <w:pPr>
              <w:rPr>
                <w:rFonts w:ascii="Calibri" w:eastAsia="Calibri" w:hAnsi="Calibri" w:cs="Calibri"/>
              </w:rPr>
            </w:pPr>
          </w:p>
        </w:tc>
      </w:tr>
      <w:tr w:rsidR="003C7CC8" w14:paraId="18649A68"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0FE807B6"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7.2. Seminar</w:t>
            </w:r>
          </w:p>
        </w:tc>
        <w:tc>
          <w:tcPr>
            <w:tcW w:w="1980" w:type="dxa"/>
            <w:tcBorders>
              <w:top w:val="single" w:sz="4" w:space="0" w:color="000000"/>
              <w:left w:val="single" w:sz="4" w:space="0" w:color="000000"/>
              <w:bottom w:val="single" w:sz="4" w:space="0" w:color="000000"/>
              <w:right w:val="single" w:sz="4" w:space="0" w:color="000000"/>
            </w:tcBorders>
          </w:tcPr>
          <w:p w14:paraId="537C8318"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Teaching methods</w:t>
            </w:r>
          </w:p>
        </w:tc>
        <w:tc>
          <w:tcPr>
            <w:tcW w:w="5166" w:type="dxa"/>
            <w:tcBorders>
              <w:top w:val="single" w:sz="4" w:space="0" w:color="000000"/>
              <w:left w:val="single" w:sz="4" w:space="0" w:color="000000"/>
              <w:bottom w:val="single" w:sz="4" w:space="0" w:color="000000"/>
              <w:right w:val="single" w:sz="4" w:space="0" w:color="000000"/>
            </w:tcBorders>
          </w:tcPr>
          <w:p w14:paraId="6ABE0F7A" w14:textId="77777777" w:rsidR="003C7CC8"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Comments</w:t>
            </w:r>
          </w:p>
        </w:tc>
      </w:tr>
      <w:tr w:rsidR="003C7CC8" w14:paraId="2C10AFCC"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66844E83"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S1. Critical Evaluation and Recapitulation</w:t>
            </w:r>
          </w:p>
        </w:tc>
        <w:tc>
          <w:tcPr>
            <w:tcW w:w="1980" w:type="dxa"/>
            <w:tcBorders>
              <w:top w:val="single" w:sz="4" w:space="0" w:color="000000"/>
              <w:left w:val="single" w:sz="4" w:space="0" w:color="000000"/>
              <w:bottom w:val="single" w:sz="4" w:space="0" w:color="000000"/>
              <w:right w:val="single" w:sz="4" w:space="0" w:color="000000"/>
            </w:tcBorders>
          </w:tcPr>
          <w:p w14:paraId="7CC4E369"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28551B99" w14:textId="77777777" w:rsidR="003C7CC8" w:rsidRDefault="00000000">
            <w:pPr>
              <w:rPr>
                <w:rFonts w:ascii="Calibri" w:eastAsia="Calibri" w:hAnsi="Calibri" w:cs="Calibri"/>
              </w:rPr>
            </w:pPr>
            <w:r>
              <w:rPr>
                <w:rFonts w:ascii="Calibri" w:eastAsia="Calibri" w:hAnsi="Calibri" w:cs="Calibri"/>
              </w:rPr>
              <w:t xml:space="preserve">Focus on statistical tests for comparing groups: </w:t>
            </w:r>
          </w:p>
          <w:p w14:paraId="64107826"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Independent samples t-tests for comparing two separate groups</w:t>
            </w:r>
          </w:p>
          <w:p w14:paraId="66DE3327"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Analysis of Variance (ANOVA) for comparing multiple groups</w:t>
            </w:r>
          </w:p>
          <w:p w14:paraId="755D47D7"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Repeated measures designs for within-subjects comparisons</w:t>
            </w:r>
          </w:p>
          <w:p w14:paraId="1699F9CB"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Assumptions testing and effect size interpretation</w:t>
            </w:r>
          </w:p>
        </w:tc>
      </w:tr>
      <w:tr w:rsidR="003C7CC8" w14:paraId="391280C9"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734F0CA"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S2. ANOVA as General Linear Model (part 1)</w:t>
            </w:r>
          </w:p>
        </w:tc>
        <w:tc>
          <w:tcPr>
            <w:tcW w:w="1980" w:type="dxa"/>
            <w:tcBorders>
              <w:top w:val="single" w:sz="4" w:space="0" w:color="000000"/>
              <w:left w:val="single" w:sz="4" w:space="0" w:color="000000"/>
              <w:bottom w:val="single" w:sz="4" w:space="0" w:color="000000"/>
              <w:right w:val="single" w:sz="4" w:space="0" w:color="000000"/>
            </w:tcBorders>
          </w:tcPr>
          <w:p w14:paraId="65063A64"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3AFAF355" w14:textId="77777777" w:rsidR="003C7CC8" w:rsidRDefault="00000000">
            <w:pPr>
              <w:rPr>
                <w:rFonts w:ascii="Calibri" w:eastAsia="Calibri" w:hAnsi="Calibri" w:cs="Calibri"/>
              </w:rPr>
            </w:pPr>
            <w:r>
              <w:rPr>
                <w:rFonts w:ascii="Calibri" w:eastAsia="Calibri" w:hAnsi="Calibri" w:cs="Calibri"/>
              </w:rPr>
              <w:t>Linking traditional ANOVA approaches with the GLM framework. Topics include:</w:t>
            </w:r>
          </w:p>
          <w:p w14:paraId="4855D806"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lastRenderedPageBreak/>
              <w:t>Conceptual equivalence between ANOVA and regression</w:t>
            </w:r>
          </w:p>
          <w:p w14:paraId="204D3759"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Dummy coding for binary categorical factors</w:t>
            </w:r>
          </w:p>
          <w:p w14:paraId="4D510AA7"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Comparing traditional ANOVA output with GLM regression coefficients</w:t>
            </w:r>
          </w:p>
        </w:tc>
      </w:tr>
      <w:tr w:rsidR="003C7CC8" w14:paraId="1F582364"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5E369E0"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lastRenderedPageBreak/>
              <w:t xml:space="preserve">S3. </w:t>
            </w:r>
            <w:r>
              <w:rPr>
                <w:rFonts w:ascii="Calibri" w:eastAsia="Calibri" w:hAnsi="Calibri" w:cs="Calibri"/>
                <w:b/>
                <w:bCs/>
              </w:rPr>
              <w:t>ANOVA as General Linear Model (part 2)</w:t>
            </w:r>
          </w:p>
        </w:tc>
        <w:tc>
          <w:tcPr>
            <w:tcW w:w="1980" w:type="dxa"/>
            <w:tcBorders>
              <w:top w:val="single" w:sz="4" w:space="0" w:color="000000"/>
              <w:left w:val="single" w:sz="4" w:space="0" w:color="000000"/>
              <w:bottom w:val="single" w:sz="4" w:space="0" w:color="000000"/>
              <w:right w:val="single" w:sz="4" w:space="0" w:color="000000"/>
            </w:tcBorders>
          </w:tcPr>
          <w:p w14:paraId="50617B7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46CA237A" w14:textId="77777777" w:rsidR="003C7CC8" w:rsidRDefault="00000000">
            <w:pPr>
              <w:rPr>
                <w:rFonts w:ascii="Calibri" w:eastAsia="Calibri" w:hAnsi="Calibri" w:cs="Calibri"/>
              </w:rPr>
            </w:pPr>
            <w:r>
              <w:rPr>
                <w:rFonts w:ascii="Calibri" w:eastAsia="Calibri" w:hAnsi="Calibri" w:cs="Calibri"/>
              </w:rPr>
              <w:t>Exploring coding strategies for multi-level factors:</w:t>
            </w:r>
          </w:p>
          <w:p w14:paraId="53BFCF58"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Contrast coding for non-binary categorical variables</w:t>
            </w:r>
          </w:p>
          <w:p w14:paraId="00823C83"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Orthogonal and non-orthogonal contrasts</w:t>
            </w:r>
          </w:p>
        </w:tc>
      </w:tr>
      <w:tr w:rsidR="003C7CC8" w14:paraId="21BC59A9"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35276D8"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S4. Analysis of Covariance (ANCOVA)</w:t>
            </w:r>
          </w:p>
        </w:tc>
        <w:tc>
          <w:tcPr>
            <w:tcW w:w="1980" w:type="dxa"/>
            <w:tcBorders>
              <w:top w:val="single" w:sz="4" w:space="0" w:color="000000"/>
              <w:left w:val="single" w:sz="4" w:space="0" w:color="000000"/>
              <w:bottom w:val="single" w:sz="4" w:space="0" w:color="000000"/>
              <w:right w:val="single" w:sz="4" w:space="0" w:color="000000"/>
            </w:tcBorders>
          </w:tcPr>
          <w:p w14:paraId="5DA5EE5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41B51B5E" w14:textId="77777777" w:rsidR="003C7CC8" w:rsidRDefault="00000000">
            <w:pPr>
              <w:rPr>
                <w:rFonts w:ascii="Calibri" w:eastAsia="Calibri" w:hAnsi="Calibri" w:cs="Calibri"/>
              </w:rPr>
            </w:pPr>
            <w:r>
              <w:rPr>
                <w:rFonts w:ascii="Calibri" w:eastAsia="Calibri" w:hAnsi="Calibri" w:cs="Calibri"/>
              </w:rPr>
              <w:t>Introducing ANCOVA as a method to statistically control for confounding variables while examining group differences:</w:t>
            </w:r>
          </w:p>
          <w:p w14:paraId="5BE7B745"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Incorporate continuous covariates into one-way ANOVA designs</w:t>
            </w:r>
          </w:p>
          <w:p w14:paraId="636EAEE7"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Apply ANCOVA to factorial ANOVA models</w:t>
            </w:r>
          </w:p>
          <w:p w14:paraId="2838AFC8"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Interpret adjusted means and assess the impact of covariate control</w:t>
            </w:r>
          </w:p>
        </w:tc>
      </w:tr>
      <w:tr w:rsidR="003C7CC8" w14:paraId="0489F80D"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51C85F3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 xml:space="preserve">S5. </w:t>
            </w:r>
            <w:r>
              <w:rPr>
                <w:rFonts w:ascii="Calibri" w:eastAsia="Calibri" w:hAnsi="Calibri" w:cs="Calibri"/>
                <w:b/>
                <w:bCs/>
              </w:rPr>
              <w:t>ANOVA for Unbalanced Designs</w:t>
            </w:r>
          </w:p>
        </w:tc>
        <w:tc>
          <w:tcPr>
            <w:tcW w:w="1980" w:type="dxa"/>
            <w:tcBorders>
              <w:top w:val="single" w:sz="4" w:space="0" w:color="000000"/>
              <w:left w:val="single" w:sz="4" w:space="0" w:color="000000"/>
              <w:bottom w:val="single" w:sz="4" w:space="0" w:color="000000"/>
              <w:right w:val="single" w:sz="4" w:space="0" w:color="000000"/>
            </w:tcBorders>
          </w:tcPr>
          <w:p w14:paraId="0EFAA5DE"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40B9EF0B" w14:textId="77777777" w:rsidR="003C7CC8" w:rsidRDefault="00000000">
            <w:pPr>
              <w:rPr>
                <w:rFonts w:ascii="Calibri" w:eastAsia="Calibri" w:hAnsi="Calibri" w:cs="Calibri"/>
              </w:rPr>
            </w:pPr>
            <w:r>
              <w:rPr>
                <w:rFonts w:ascii="Calibri" w:eastAsia="Calibri" w:hAnsi="Calibri" w:cs="Calibri"/>
              </w:rPr>
              <w:t>ANOVA variations arising from unequal sample sizes in factorial designs:</w:t>
            </w:r>
          </w:p>
          <w:p w14:paraId="38145815"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Type I (sequential) sum of squares and order dependency</w:t>
            </w:r>
          </w:p>
          <w:p w14:paraId="7F83E45C"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Type II (hierarchical) sum of squares for main effects</w:t>
            </w:r>
          </w:p>
          <w:p w14:paraId="01DC893F" w14:textId="77777777" w:rsidR="003C7CC8" w:rsidRDefault="00000000">
            <w:pPr>
              <w:numPr>
                <w:ilvl w:val="0"/>
                <w:numId w:val="4"/>
              </w:num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Type III (partial) sum of squares for balanced marginal means</w:t>
            </w:r>
          </w:p>
        </w:tc>
      </w:tr>
      <w:tr w:rsidR="003C7CC8" w14:paraId="27BC3E32"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3BFDCD1D"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S6. Comprehensive Review</w:t>
            </w:r>
          </w:p>
        </w:tc>
        <w:tc>
          <w:tcPr>
            <w:tcW w:w="1980" w:type="dxa"/>
            <w:tcBorders>
              <w:top w:val="single" w:sz="4" w:space="0" w:color="000000"/>
              <w:left w:val="single" w:sz="4" w:space="0" w:color="000000"/>
              <w:bottom w:val="single" w:sz="4" w:space="0" w:color="000000"/>
              <w:right w:val="single" w:sz="4" w:space="0" w:color="000000"/>
            </w:tcBorders>
          </w:tcPr>
          <w:p w14:paraId="12B29976"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68B5F671" w14:textId="77777777" w:rsidR="003C7CC8" w:rsidRDefault="00000000">
            <w:pPr>
              <w:rPr>
                <w:rFonts w:ascii="Calibri" w:eastAsia="Calibri" w:hAnsi="Calibri" w:cs="Calibri"/>
                <w:b/>
                <w:bCs/>
                <w:color w:val="000000"/>
              </w:rPr>
            </w:pPr>
            <w:r>
              <w:rPr>
                <w:rFonts w:ascii="Calibri" w:eastAsia="Calibri" w:hAnsi="Calibri" w:cs="Calibri"/>
              </w:rPr>
              <w:t>A consolidation session that synthesizes material from Seminars 2-5</w:t>
            </w:r>
          </w:p>
        </w:tc>
      </w:tr>
      <w:tr w:rsidR="003C7CC8" w14:paraId="007B6E9A"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7BAAC247"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S7. Practical test 1</w:t>
            </w:r>
          </w:p>
        </w:tc>
        <w:tc>
          <w:tcPr>
            <w:tcW w:w="1980" w:type="dxa"/>
            <w:tcBorders>
              <w:top w:val="single" w:sz="4" w:space="0" w:color="000000"/>
              <w:left w:val="single" w:sz="4" w:space="0" w:color="000000"/>
              <w:bottom w:val="single" w:sz="4" w:space="0" w:color="000000"/>
              <w:right w:val="single" w:sz="4" w:space="0" w:color="000000"/>
            </w:tcBorders>
          </w:tcPr>
          <w:p w14:paraId="60EC0DE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Examination </w:t>
            </w:r>
          </w:p>
        </w:tc>
        <w:tc>
          <w:tcPr>
            <w:tcW w:w="5166" w:type="dxa"/>
            <w:tcBorders>
              <w:top w:val="single" w:sz="4" w:space="0" w:color="000000"/>
              <w:left w:val="single" w:sz="4" w:space="0" w:color="000000"/>
              <w:bottom w:val="single" w:sz="4" w:space="0" w:color="000000"/>
              <w:right w:val="single" w:sz="4" w:space="0" w:color="000000"/>
            </w:tcBorders>
          </w:tcPr>
          <w:p w14:paraId="5ADD8D1D"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The midterm practical test covering the modules discussed up to that point</w:t>
            </w:r>
          </w:p>
        </w:tc>
      </w:tr>
      <w:tr w:rsidR="003C7CC8" w14:paraId="56DE6EEE"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1A4EADFD"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S8. Mediation Analysis</w:t>
            </w:r>
          </w:p>
        </w:tc>
        <w:tc>
          <w:tcPr>
            <w:tcW w:w="1980" w:type="dxa"/>
            <w:tcBorders>
              <w:top w:val="single" w:sz="4" w:space="0" w:color="000000"/>
              <w:left w:val="single" w:sz="4" w:space="0" w:color="000000"/>
              <w:bottom w:val="single" w:sz="4" w:space="0" w:color="000000"/>
              <w:right w:val="single" w:sz="4" w:space="0" w:color="000000"/>
            </w:tcBorders>
          </w:tcPr>
          <w:p w14:paraId="5775848C"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526AD8B2" w14:textId="77777777" w:rsidR="003C7CC8" w:rsidRDefault="00000000">
            <w:pPr>
              <w:rPr>
                <w:rFonts w:ascii="Calibri" w:eastAsia="Calibri" w:hAnsi="Calibri" w:cs="Calibri"/>
              </w:rPr>
            </w:pPr>
            <w:r>
              <w:rPr>
                <w:rFonts w:ascii="Calibri" w:eastAsia="Calibri" w:hAnsi="Calibri" w:cs="Calibri"/>
              </w:rPr>
              <w:t>Mediation analysis for investigating mechanisms underlying relationships between variables:</w:t>
            </w:r>
          </w:p>
          <w:p w14:paraId="68080120"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Conceptual foundations of mediation models</w:t>
            </w:r>
          </w:p>
          <w:p w14:paraId="16200803"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Testing traditional (Baron and Kenny) vs modern (Hayes) approach </w:t>
            </w:r>
          </w:p>
          <w:p w14:paraId="65E01755"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Bootstrapping for testing indirect effects</w:t>
            </w:r>
          </w:p>
          <w:p w14:paraId="60EBF337"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Distinguishing between full and partial mediation</w:t>
            </w:r>
          </w:p>
        </w:tc>
      </w:tr>
      <w:tr w:rsidR="003C7CC8" w14:paraId="0AEC9508"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2E527428"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S9. Moderation Analysis</w:t>
            </w:r>
          </w:p>
        </w:tc>
        <w:tc>
          <w:tcPr>
            <w:tcW w:w="1980" w:type="dxa"/>
            <w:tcBorders>
              <w:top w:val="single" w:sz="4" w:space="0" w:color="000000"/>
              <w:left w:val="single" w:sz="4" w:space="0" w:color="000000"/>
              <w:bottom w:val="single" w:sz="4" w:space="0" w:color="000000"/>
              <w:right w:val="single" w:sz="4" w:space="0" w:color="000000"/>
            </w:tcBorders>
          </w:tcPr>
          <w:p w14:paraId="2C3EF840"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06C6814D" w14:textId="77777777" w:rsidR="003C7CC8" w:rsidRDefault="00000000">
            <w:pPr>
              <w:rPr>
                <w:rFonts w:ascii="Calibri" w:eastAsia="Calibri" w:hAnsi="Calibri" w:cs="Calibri"/>
              </w:rPr>
            </w:pPr>
            <w:r>
              <w:rPr>
                <w:rFonts w:ascii="Calibri" w:eastAsia="Calibri" w:hAnsi="Calibri" w:cs="Calibri"/>
              </w:rPr>
              <w:t>Identifying when and for whom effects occur:</w:t>
            </w:r>
          </w:p>
          <w:p w14:paraId="085B167B"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Conceptual basis of interaction effects and moderation</w:t>
            </w:r>
          </w:p>
          <w:p w14:paraId="297A264E"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Probing significant interactions through simple slopes analysis</w:t>
            </w:r>
          </w:p>
          <w:p w14:paraId="4E1C4BF6"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Visualizing moderation effects with interaction plots</w:t>
            </w:r>
          </w:p>
          <w:p w14:paraId="2E9AFD1A"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lastRenderedPageBreak/>
              <w:t>Categorical versus continuous moderators</w:t>
            </w:r>
          </w:p>
        </w:tc>
      </w:tr>
      <w:tr w:rsidR="003C7CC8" w14:paraId="420BE929"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311E0B6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lastRenderedPageBreak/>
              <w:t>S10. Moderated Mediation Analysis</w:t>
            </w:r>
          </w:p>
        </w:tc>
        <w:tc>
          <w:tcPr>
            <w:tcW w:w="1980" w:type="dxa"/>
            <w:tcBorders>
              <w:top w:val="single" w:sz="4" w:space="0" w:color="000000"/>
              <w:left w:val="single" w:sz="4" w:space="0" w:color="000000"/>
              <w:bottom w:val="single" w:sz="4" w:space="0" w:color="000000"/>
              <w:right w:val="single" w:sz="4" w:space="0" w:color="000000"/>
            </w:tcBorders>
          </w:tcPr>
          <w:p w14:paraId="68A9454A"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40D408EA" w14:textId="77777777" w:rsidR="003C7CC8" w:rsidRDefault="00000000">
            <w:pPr>
              <w:rPr>
                <w:rFonts w:ascii="Calibri" w:eastAsia="Calibri" w:hAnsi="Calibri" w:cs="Calibri"/>
              </w:rPr>
            </w:pPr>
            <w:r>
              <w:rPr>
                <w:rFonts w:ascii="Calibri" w:eastAsia="Calibri" w:hAnsi="Calibri" w:cs="Calibri"/>
              </w:rPr>
              <w:t>Integrating mediation and moderation into conditional process models:</w:t>
            </w:r>
          </w:p>
          <w:p w14:paraId="2166DB77"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Conceptualizing moderated mediation: when mediation depends on moderator values</w:t>
            </w:r>
          </w:p>
          <w:p w14:paraId="01FE31A3"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Testing the index of moderated mediation</w:t>
            </w:r>
          </w:p>
          <w:p w14:paraId="0FC2DFAF" w14:textId="77777777" w:rsidR="003C7CC8" w:rsidRDefault="00000000">
            <w:pPr>
              <w:numPr>
                <w:ilvl w:val="0"/>
                <w:numId w:val="4"/>
              </w:num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Conditional indirect effects at different moderator levels</w:t>
            </w:r>
          </w:p>
        </w:tc>
      </w:tr>
      <w:tr w:rsidR="003C7CC8" w14:paraId="2C7F4C9D"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5DFC974B"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S11. Integration Review</w:t>
            </w:r>
          </w:p>
        </w:tc>
        <w:tc>
          <w:tcPr>
            <w:tcW w:w="1980" w:type="dxa"/>
            <w:tcBorders>
              <w:top w:val="single" w:sz="4" w:space="0" w:color="000000"/>
              <w:left w:val="single" w:sz="4" w:space="0" w:color="000000"/>
              <w:bottom w:val="single" w:sz="4" w:space="0" w:color="000000"/>
              <w:right w:val="single" w:sz="4" w:space="0" w:color="000000"/>
            </w:tcBorders>
          </w:tcPr>
          <w:p w14:paraId="3E450A70"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79AE3DA1"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rPr>
              <w:t>An integrative review session consolidating material from Seminars 7-9</w:t>
            </w:r>
          </w:p>
        </w:tc>
      </w:tr>
      <w:tr w:rsidR="003C7CC8" w14:paraId="62780070"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2AAAF815"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S12. Introduction to Latent Modeling</w:t>
            </w:r>
          </w:p>
        </w:tc>
        <w:tc>
          <w:tcPr>
            <w:tcW w:w="1980" w:type="dxa"/>
            <w:tcBorders>
              <w:top w:val="single" w:sz="4" w:space="0" w:color="000000"/>
              <w:left w:val="single" w:sz="4" w:space="0" w:color="000000"/>
              <w:bottom w:val="single" w:sz="4" w:space="0" w:color="000000"/>
              <w:right w:val="single" w:sz="4" w:space="0" w:color="000000"/>
            </w:tcBorders>
          </w:tcPr>
          <w:p w14:paraId="7BFBF75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0C4BFFC0" w14:textId="77777777" w:rsidR="003C7CC8" w:rsidRDefault="00000000">
            <w:pPr>
              <w:rPr>
                <w:rFonts w:ascii="Calibri" w:eastAsia="Calibri" w:hAnsi="Calibri" w:cs="Calibri"/>
              </w:rPr>
            </w:pPr>
            <w:r>
              <w:rPr>
                <w:rFonts w:ascii="Calibri" w:eastAsia="Calibri" w:hAnsi="Calibri" w:cs="Calibri"/>
              </w:rPr>
              <w:t>Latent variable modeling through exploratory factor analysis (EFA):</w:t>
            </w:r>
          </w:p>
          <w:p w14:paraId="5A9F1F12"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Determining the number of factors: scree plots, parallel analysis</w:t>
            </w:r>
          </w:p>
          <w:p w14:paraId="2577E9D4"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Factor extraction methods and rotation techniques (orthogonal vs. oblique)</w:t>
            </w:r>
          </w:p>
          <w:p w14:paraId="04524043"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Interpreting factor loadings and communalities</w:t>
            </w:r>
          </w:p>
        </w:tc>
      </w:tr>
      <w:tr w:rsidR="003C7CC8" w14:paraId="764FD682"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30B5A813"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S13. Principal Component Analysis</w:t>
            </w:r>
          </w:p>
        </w:tc>
        <w:tc>
          <w:tcPr>
            <w:tcW w:w="1980" w:type="dxa"/>
            <w:tcBorders>
              <w:top w:val="single" w:sz="4" w:space="0" w:color="000000"/>
              <w:left w:val="single" w:sz="4" w:space="0" w:color="000000"/>
              <w:bottom w:val="single" w:sz="4" w:space="0" w:color="000000"/>
              <w:right w:val="single" w:sz="4" w:space="0" w:color="000000"/>
            </w:tcBorders>
          </w:tcPr>
          <w:p w14:paraId="43FD9D2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73826FC7" w14:textId="77777777" w:rsidR="003C7CC8" w:rsidRDefault="00000000">
            <w:pPr>
              <w:rPr>
                <w:rFonts w:ascii="Calibri" w:eastAsia="Calibri" w:hAnsi="Calibri" w:cs="Calibri"/>
              </w:rPr>
            </w:pPr>
            <w:r>
              <w:rPr>
                <w:rFonts w:ascii="Calibri" w:eastAsia="Calibri" w:hAnsi="Calibri" w:cs="Calibri"/>
              </w:rPr>
              <w:t>PCA as a complementary approach to dimensionality reduction:</w:t>
            </w:r>
          </w:p>
          <w:p w14:paraId="6E070F3D"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Eigenvalues, eigenvectors, and variance explained</w:t>
            </w:r>
          </w:p>
          <w:p w14:paraId="1FE0915F" w14:textId="77777777" w:rsidR="003C7CC8"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Component scores and their applications</w:t>
            </w:r>
          </w:p>
          <w:p w14:paraId="0535A6E2" w14:textId="77777777" w:rsidR="003C7CC8" w:rsidRDefault="00000000">
            <w:pPr>
              <w:numPr>
                <w:ilvl w:val="0"/>
                <w:numId w:val="4"/>
              </w:num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When to use PCA versus EFA</w:t>
            </w:r>
          </w:p>
        </w:tc>
      </w:tr>
      <w:tr w:rsidR="003C7CC8" w14:paraId="4341E0A4" w14:textId="77777777">
        <w:trPr>
          <w:jc w:val="center"/>
        </w:trPr>
        <w:tc>
          <w:tcPr>
            <w:tcW w:w="3055" w:type="dxa"/>
            <w:tcBorders>
              <w:top w:val="single" w:sz="4" w:space="0" w:color="000000"/>
              <w:left w:val="single" w:sz="4" w:space="0" w:color="000000"/>
              <w:bottom w:val="single" w:sz="4" w:space="0" w:color="000000"/>
              <w:right w:val="single" w:sz="4" w:space="0" w:color="000000"/>
            </w:tcBorders>
          </w:tcPr>
          <w:p w14:paraId="6FE53215"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S14. Practical test 2</w:t>
            </w:r>
          </w:p>
        </w:tc>
        <w:tc>
          <w:tcPr>
            <w:tcW w:w="1980" w:type="dxa"/>
            <w:tcBorders>
              <w:top w:val="single" w:sz="4" w:space="0" w:color="000000"/>
              <w:left w:val="single" w:sz="4" w:space="0" w:color="000000"/>
              <w:bottom w:val="single" w:sz="4" w:space="0" w:color="000000"/>
              <w:right w:val="single" w:sz="4" w:space="0" w:color="000000"/>
            </w:tcBorders>
          </w:tcPr>
          <w:p w14:paraId="46BF4F6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Demonstration Exemplification Exercises </w:t>
            </w:r>
          </w:p>
        </w:tc>
        <w:tc>
          <w:tcPr>
            <w:tcW w:w="5166" w:type="dxa"/>
            <w:tcBorders>
              <w:top w:val="single" w:sz="4" w:space="0" w:color="000000"/>
              <w:left w:val="single" w:sz="4" w:space="0" w:color="000000"/>
              <w:bottom w:val="single" w:sz="4" w:space="0" w:color="000000"/>
              <w:right w:val="single" w:sz="4" w:space="0" w:color="000000"/>
            </w:tcBorders>
          </w:tcPr>
          <w:p w14:paraId="345530E7"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color w:val="000000"/>
              </w:rPr>
              <w:t>The final practical test covering the modules discussed from the midterm to that point.</w:t>
            </w:r>
          </w:p>
        </w:tc>
      </w:tr>
      <w:tr w:rsidR="003C7CC8" w14:paraId="071A8F21" w14:textId="77777777">
        <w:trPr>
          <w:jc w:val="center"/>
        </w:trPr>
        <w:tc>
          <w:tcPr>
            <w:tcW w:w="10201" w:type="dxa"/>
            <w:gridSpan w:val="3"/>
            <w:shd w:val="clear" w:color="auto" w:fill="FFFFFF"/>
          </w:tcPr>
          <w:p w14:paraId="5153BB6F"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Bibliography:</w:t>
            </w:r>
          </w:p>
          <w:p w14:paraId="144A7296"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Navarro, D. J., &amp; Foxcroft, D. R. (2025). </w:t>
            </w:r>
            <w:r>
              <w:rPr>
                <w:rFonts w:ascii="Calibri" w:eastAsia="Calibri" w:hAnsi="Calibri" w:cs="Calibri"/>
                <w:i/>
                <w:iCs/>
                <w:color w:val="000000"/>
              </w:rPr>
              <w:t>Learning statistics with Jamovi: A tutorial for beginners in statistical analysis</w:t>
            </w:r>
            <w:r>
              <w:rPr>
                <w:rFonts w:ascii="Calibri" w:eastAsia="Calibri" w:hAnsi="Calibri" w:cs="Calibri"/>
                <w:color w:val="000000"/>
              </w:rPr>
              <w:t xml:space="preserve">. Open Book Publishers. </w:t>
            </w:r>
            <w:hyperlink r:id="rId9">
              <w:r w:rsidR="003C7CC8">
                <w:rPr>
                  <w:rFonts w:ascii="Calibri" w:eastAsia="Calibri" w:hAnsi="Calibri" w:cs="Calibri"/>
                  <w:color w:val="0000FF"/>
                  <w:u w:val="single"/>
                </w:rPr>
                <w:t>https://doi.org/10.11647/OBP.0333</w:t>
              </w:r>
            </w:hyperlink>
          </w:p>
        </w:tc>
      </w:tr>
    </w:tbl>
    <w:p w14:paraId="20F1A607" w14:textId="77777777" w:rsidR="003C7CC8" w:rsidRDefault="003C7CC8">
      <w:pPr>
        <w:pBdr>
          <w:top w:val="nil"/>
          <w:left w:val="nil"/>
          <w:bottom w:val="nil"/>
          <w:right w:val="nil"/>
          <w:between w:val="nil"/>
        </w:pBdr>
        <w:jc w:val="both"/>
        <w:rPr>
          <w:rFonts w:ascii="Calibri" w:eastAsia="Calibri" w:hAnsi="Calibri" w:cs="Calibri"/>
          <w:b/>
          <w:bCs/>
          <w:color w:val="000000"/>
          <w:sz w:val="20"/>
          <w:szCs w:val="20"/>
        </w:rPr>
      </w:pPr>
    </w:p>
    <w:p w14:paraId="717B277E" w14:textId="77777777" w:rsidR="003C7CC8" w:rsidRDefault="00000000">
      <w:pPr>
        <w:numPr>
          <w:ilvl w:val="0"/>
          <w:numId w:val="1"/>
        </w:numPr>
        <w:pBdr>
          <w:top w:val="nil"/>
          <w:left w:val="nil"/>
          <w:bottom w:val="nil"/>
          <w:right w:val="nil"/>
          <w:between w:val="nil"/>
        </w:pBdr>
        <w:jc w:val="both"/>
        <w:rPr>
          <w:rFonts w:ascii="Calibri" w:eastAsia="Calibri" w:hAnsi="Calibri" w:cs="Calibri"/>
          <w:b/>
          <w:bCs/>
          <w:color w:val="000000"/>
        </w:rPr>
      </w:pPr>
      <w:r>
        <w:rPr>
          <w:rFonts w:ascii="Calibri" w:eastAsia="Calibri" w:hAnsi="Calibri" w:cs="Calibri"/>
          <w:b/>
          <w:bCs/>
          <w:color w:val="000000"/>
        </w:rPr>
        <w:t>Corroboration of the course contents with the epistemic expectations of the community representative, professional associations and representative employers of the programme itself</w:t>
      </w:r>
    </w:p>
    <w:tbl>
      <w:tblPr>
        <w:tblStyle w:val="af"/>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7"/>
      </w:tblGrid>
      <w:tr w:rsidR="003C7CC8" w14:paraId="4D0BE2C6" w14:textId="77777777">
        <w:trPr>
          <w:trHeight w:val="1072"/>
          <w:jc w:val="center"/>
        </w:trPr>
        <w:tc>
          <w:tcPr>
            <w:tcW w:w="10207" w:type="dxa"/>
          </w:tcPr>
          <w:p w14:paraId="1CA6FB85" w14:textId="77777777" w:rsidR="003C7CC8" w:rsidRDefault="00000000">
            <w:pPr>
              <w:pBdr>
                <w:top w:val="nil"/>
                <w:left w:val="nil"/>
                <w:bottom w:val="nil"/>
                <w:right w:val="nil"/>
                <w:between w:val="nil"/>
              </w:pBdr>
              <w:ind w:right="-108"/>
              <w:rPr>
                <w:rFonts w:ascii="Calibri" w:eastAsia="Calibri" w:hAnsi="Calibri" w:cs="Calibri"/>
                <w:color w:val="000000"/>
              </w:rPr>
            </w:pPr>
            <w:r>
              <w:rPr>
                <w:rFonts w:ascii="Calibri" w:eastAsia="Calibri" w:hAnsi="Calibri" w:cs="Calibri"/>
              </w:rPr>
              <w:t>Through this course, students are familiarized with the most important statistical procedures that are fundamental in testing more complex research hypotheses. The emphasis is on practical applications and real-life interpretations using Jamovi and R. This software is among the leading data analysis programs in the field of psychological research. The knowledge acquired in this discipline favors an approach to scientifically validated psychological practice through the appropriate reading of specialized literature, analysis, and interpretation of data available for decision-making and scientific advances.</w:t>
            </w:r>
          </w:p>
        </w:tc>
      </w:tr>
    </w:tbl>
    <w:p w14:paraId="5C07AE61" w14:textId="77777777" w:rsidR="003C7CC8" w:rsidRDefault="003C7CC8">
      <w:pPr>
        <w:rPr>
          <w:rFonts w:ascii="Calibri" w:eastAsia="Calibri" w:hAnsi="Calibri" w:cs="Calibri"/>
          <w:b/>
          <w:bCs/>
          <w:sz w:val="20"/>
          <w:szCs w:val="20"/>
        </w:rPr>
      </w:pPr>
    </w:p>
    <w:p w14:paraId="2DB9A105" w14:textId="77777777" w:rsidR="003C7CC8" w:rsidRDefault="00000000">
      <w:pPr>
        <w:numPr>
          <w:ilvl w:val="0"/>
          <w:numId w:val="1"/>
        </w:numPr>
        <w:pBdr>
          <w:top w:val="nil"/>
          <w:left w:val="nil"/>
          <w:bottom w:val="nil"/>
          <w:right w:val="nil"/>
          <w:between w:val="nil"/>
        </w:pBdr>
        <w:spacing w:line="276" w:lineRule="auto"/>
        <w:ind w:left="714" w:hanging="357"/>
        <w:rPr>
          <w:rFonts w:ascii="Calibri" w:eastAsia="Calibri" w:hAnsi="Calibri" w:cs="Calibri"/>
          <w:b/>
          <w:bCs/>
          <w:color w:val="000000"/>
        </w:rPr>
      </w:pPr>
      <w:r>
        <w:rPr>
          <w:rFonts w:ascii="Calibri" w:eastAsia="Calibri" w:hAnsi="Calibri" w:cs="Calibri"/>
          <w:b/>
          <w:bCs/>
          <w:color w:val="000000"/>
        </w:rPr>
        <w:t>Use of tools based on generative artificial intelligence</w:t>
      </w:r>
    </w:p>
    <w:p w14:paraId="4563183B"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r>
        <w:rPr>
          <w:rFonts w:ascii="Calibri" w:eastAsia="Calibri" w:hAnsi="Calibri" w:cs="Calibri"/>
          <w:color w:val="000000"/>
        </w:rPr>
        <w:lastRenderedPageBreak/>
        <w:t xml:space="preserve"> </w:t>
      </w:r>
      <w:r>
        <w:rPr>
          <w:rFonts w:ascii="Calibri" w:eastAsia="Calibri" w:hAnsi="Calibri" w:cs="Calibri"/>
        </w:rPr>
        <w:t>To complete the tasks defined in the assessment section (for both the lecture and the seminar assessment), the use of generative AI tools is not permitted, since both assessment methods rely on in-class participation and testing.</w:t>
      </w:r>
    </w:p>
    <w:p w14:paraId="05A559FE" w14:textId="77777777" w:rsidR="003C7CC8" w:rsidRDefault="003C7CC8">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p>
    <w:p w14:paraId="337A0E7C"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r>
        <w:rPr>
          <w:rFonts w:ascii="Calibri" w:eastAsia="Calibri" w:hAnsi="Calibri" w:cs="Calibri"/>
        </w:rPr>
        <w:t xml:space="preserve">However, students are allowed to use AI tools during seminars to enhance their understanding of the concepts discussed. The most well-known examples of generative AI tools include, but are not limited to: ChatGPT, Google Gemini, Copilot for text, or MidJourney for images. The AI tools should not replace the recommended readings and the materials provided by the instructor. </w:t>
      </w:r>
    </w:p>
    <w:p w14:paraId="6C8A8123" w14:textId="77777777" w:rsidR="003C7CC8" w:rsidRDefault="003C7CC8">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p>
    <w:p w14:paraId="1889109B"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r>
        <w:rPr>
          <w:rFonts w:ascii="Calibri" w:eastAsia="Calibri" w:hAnsi="Calibri" w:cs="Calibri"/>
        </w:rPr>
        <w:t>To complete the compensatory task defined in the minimum performance standards section, the use of generative AI tools is permitted for text rewriting, editing/reviewing. Each student will specify, in a statement written separately for each assignment, according to</w:t>
      </w:r>
    </w:p>
    <w:p w14:paraId="5D4ECB92"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color w:val="0000FF"/>
          <w:u w:val="single"/>
        </w:rPr>
      </w:pPr>
      <w:r>
        <w:rPr>
          <w:rFonts w:ascii="Calibri" w:eastAsia="Calibri" w:hAnsi="Calibri" w:cs="Calibri"/>
        </w:rPr>
        <w:t xml:space="preserve">the model in Annex 3 of the </w:t>
      </w:r>
      <w:r>
        <w:fldChar w:fldCharType="begin"/>
      </w:r>
      <w:r>
        <w:instrText xml:space="preserve"> HYPERLINK "https://www.uvt.ro/wp-content/uploads/sites/3/2026/01/Regulament-UVT_Utilizarea-AI-in-educatie.pdf" </w:instrText>
      </w:r>
      <w:r>
        <w:fldChar w:fldCharType="separate"/>
      </w:r>
      <w:r>
        <w:rPr>
          <w:rFonts w:ascii="Calibri" w:eastAsia="Calibri" w:hAnsi="Calibri" w:cs="Calibri"/>
          <w:color w:val="0000FF"/>
          <w:u w:val="single"/>
        </w:rPr>
        <w:t>Regulation on the use of generative artificial intelligence in the</w:t>
      </w:r>
    </w:p>
    <w:p w14:paraId="32E481E6"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r>
        <w:rPr>
          <w:rFonts w:ascii="Calibri" w:eastAsia="Calibri" w:hAnsi="Calibri" w:cs="Calibri"/>
          <w:color w:val="0000FF"/>
          <w:u w:val="single"/>
        </w:rPr>
        <w:t>educational process at UVT</w:t>
      </w:r>
      <w:r>
        <w:fldChar w:fldCharType="end"/>
      </w:r>
      <w:r>
        <w:rPr>
          <w:rFonts w:ascii="Calibri" w:eastAsia="Calibri" w:hAnsi="Calibri" w:cs="Calibri"/>
        </w:rPr>
        <w:t>, the tool they used, how it was used, and the part of the assignment</w:t>
      </w:r>
    </w:p>
    <w:p w14:paraId="03581094"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r>
        <w:rPr>
          <w:rFonts w:ascii="Calibri" w:eastAsia="Calibri" w:hAnsi="Calibri" w:cs="Calibri"/>
        </w:rPr>
        <w:t>in which it was used. The statement will be included by the student at the beginning of the</w:t>
      </w:r>
    </w:p>
    <w:p w14:paraId="64809DD5" w14:textId="77777777" w:rsidR="003C7CC8"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b/>
          <w:bCs/>
          <w:color w:val="000000"/>
        </w:rPr>
      </w:pPr>
      <w:r>
        <w:rPr>
          <w:rFonts w:ascii="Calibri" w:eastAsia="Calibri" w:hAnsi="Calibri" w:cs="Calibri"/>
        </w:rPr>
        <w:t>submitted assignment.</w:t>
      </w:r>
    </w:p>
    <w:p w14:paraId="3533EAB1" w14:textId="77777777" w:rsidR="003C7CC8" w:rsidRDefault="003C7CC8">
      <w:pPr>
        <w:pBdr>
          <w:top w:val="nil"/>
          <w:left w:val="nil"/>
          <w:bottom w:val="nil"/>
          <w:right w:val="nil"/>
          <w:between w:val="nil"/>
        </w:pBdr>
        <w:spacing w:line="276" w:lineRule="auto"/>
        <w:ind w:left="714"/>
        <w:rPr>
          <w:rFonts w:ascii="Calibri" w:eastAsia="Calibri" w:hAnsi="Calibri" w:cs="Calibri"/>
          <w:b/>
          <w:bCs/>
          <w:color w:val="000000"/>
        </w:rPr>
      </w:pPr>
    </w:p>
    <w:p w14:paraId="23BF5AE0" w14:textId="77777777" w:rsidR="003C7CC8" w:rsidRDefault="00000000">
      <w:pPr>
        <w:numPr>
          <w:ilvl w:val="0"/>
          <w:numId w:val="1"/>
        </w:numPr>
        <w:pBdr>
          <w:top w:val="nil"/>
          <w:left w:val="nil"/>
          <w:bottom w:val="nil"/>
          <w:right w:val="nil"/>
          <w:between w:val="nil"/>
        </w:pBdr>
        <w:spacing w:line="276" w:lineRule="auto"/>
        <w:ind w:left="714" w:hanging="357"/>
        <w:rPr>
          <w:rFonts w:ascii="Calibri" w:eastAsia="Calibri" w:hAnsi="Calibri" w:cs="Calibri"/>
          <w:b/>
          <w:bCs/>
          <w:color w:val="000000"/>
        </w:rPr>
      </w:pPr>
      <w:r>
        <w:rPr>
          <w:rFonts w:ascii="Calibri" w:eastAsia="Calibri" w:hAnsi="Calibri" w:cs="Calibri"/>
          <w:b/>
          <w:bCs/>
          <w:color w:val="000000"/>
        </w:rPr>
        <w:t>Evaluation</w:t>
      </w:r>
    </w:p>
    <w:tbl>
      <w:tblPr>
        <w:tblStyle w:val="af0"/>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1"/>
        <w:gridCol w:w="2953"/>
        <w:gridCol w:w="2835"/>
        <w:gridCol w:w="1984"/>
      </w:tblGrid>
      <w:tr w:rsidR="003C7CC8" w14:paraId="6B54E668" w14:textId="77777777">
        <w:trPr>
          <w:trHeight w:val="477"/>
          <w:jc w:val="center"/>
        </w:trPr>
        <w:tc>
          <w:tcPr>
            <w:tcW w:w="2151" w:type="dxa"/>
            <w:vAlign w:val="center"/>
          </w:tcPr>
          <w:p w14:paraId="7F0DFD4B"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Type of activity</w:t>
            </w:r>
          </w:p>
        </w:tc>
        <w:tc>
          <w:tcPr>
            <w:tcW w:w="2953" w:type="dxa"/>
            <w:vAlign w:val="center"/>
          </w:tcPr>
          <w:p w14:paraId="56BB0FB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10.1 Evaluation criteria</w:t>
            </w:r>
          </w:p>
        </w:tc>
        <w:tc>
          <w:tcPr>
            <w:tcW w:w="2835" w:type="dxa"/>
            <w:vAlign w:val="center"/>
          </w:tcPr>
          <w:p w14:paraId="6157E2A2"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10.2 Evaluation methods</w:t>
            </w:r>
          </w:p>
        </w:tc>
        <w:tc>
          <w:tcPr>
            <w:tcW w:w="1984" w:type="dxa"/>
            <w:vAlign w:val="center"/>
          </w:tcPr>
          <w:p w14:paraId="039E4F4D"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10.3 Percentage of the final mark</w:t>
            </w:r>
          </w:p>
        </w:tc>
      </w:tr>
      <w:tr w:rsidR="003C7CC8" w14:paraId="067FFD21" w14:textId="77777777">
        <w:trPr>
          <w:trHeight w:val="477"/>
          <w:jc w:val="center"/>
        </w:trPr>
        <w:tc>
          <w:tcPr>
            <w:tcW w:w="2151" w:type="dxa"/>
            <w:vAlign w:val="center"/>
          </w:tcPr>
          <w:p w14:paraId="33180EC8"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10.4 Course</w:t>
            </w:r>
          </w:p>
        </w:tc>
        <w:tc>
          <w:tcPr>
            <w:tcW w:w="2953" w:type="dxa"/>
            <w:vAlign w:val="center"/>
          </w:tcPr>
          <w:p w14:paraId="3CFBD0D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Multiple-choice test</w:t>
            </w:r>
          </w:p>
        </w:tc>
        <w:tc>
          <w:tcPr>
            <w:tcW w:w="2835" w:type="dxa"/>
            <w:vAlign w:val="center"/>
          </w:tcPr>
          <w:p w14:paraId="2386CAAD"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The exam will contain multiple-choice </w:t>
            </w:r>
          </w:p>
          <w:p w14:paraId="051A262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items.  </w:t>
            </w:r>
          </w:p>
          <w:p w14:paraId="5735FE01"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This exam takes place at the end of the </w:t>
            </w:r>
          </w:p>
          <w:p w14:paraId="4D5E5EC7"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semester, during the official examination </w:t>
            </w:r>
          </w:p>
          <w:p w14:paraId="3866E02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period.  </w:t>
            </w:r>
          </w:p>
        </w:tc>
        <w:tc>
          <w:tcPr>
            <w:tcW w:w="1984" w:type="dxa"/>
            <w:vAlign w:val="center"/>
          </w:tcPr>
          <w:p w14:paraId="5DB1BBD7" w14:textId="77777777" w:rsidR="003C7CC8" w:rsidRDefault="00000000">
            <w:pPr>
              <w:pBdr>
                <w:top w:val="nil"/>
                <w:left w:val="nil"/>
                <w:bottom w:val="nil"/>
                <w:right w:val="nil"/>
                <w:between w:val="nil"/>
              </w:pBdr>
              <w:jc w:val="center"/>
              <w:rPr>
                <w:rFonts w:ascii="Calibri" w:eastAsia="Calibri" w:hAnsi="Calibri" w:cs="Calibri"/>
                <w:color w:val="000000"/>
              </w:rPr>
            </w:pPr>
            <w:r>
              <w:rPr>
                <w:rFonts w:ascii="Calibri" w:eastAsia="Calibri" w:hAnsi="Calibri" w:cs="Calibri"/>
                <w:color w:val="000000"/>
              </w:rPr>
              <w:t>50%</w:t>
            </w:r>
          </w:p>
        </w:tc>
      </w:tr>
      <w:tr w:rsidR="003C7CC8" w14:paraId="69380CBF" w14:textId="77777777">
        <w:trPr>
          <w:trHeight w:val="477"/>
          <w:jc w:val="center"/>
        </w:trPr>
        <w:tc>
          <w:tcPr>
            <w:tcW w:w="2151" w:type="dxa"/>
            <w:vAlign w:val="center"/>
          </w:tcPr>
          <w:p w14:paraId="771E7C2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10.5 Seminar</w:t>
            </w:r>
          </w:p>
        </w:tc>
        <w:tc>
          <w:tcPr>
            <w:tcW w:w="2953" w:type="dxa"/>
            <w:vAlign w:val="center"/>
          </w:tcPr>
          <w:p w14:paraId="678EDC75"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Practical test 1 and 2</w:t>
            </w:r>
          </w:p>
        </w:tc>
        <w:tc>
          <w:tcPr>
            <w:tcW w:w="2835" w:type="dxa"/>
            <w:vAlign w:val="center"/>
          </w:tcPr>
          <w:p w14:paraId="6EAC562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rPr>
              <w:t>The tests contain a series of questions, Jamovi outputs, and critical comments on the results obtained in various studies. Students receive the context and results of analyses and are required to provide a critical interpretation of these from a statistical and practical point of view. The tests are scheduled in the 7</w:t>
            </w:r>
            <w:r>
              <w:rPr>
                <w:rFonts w:ascii="Calibri" w:eastAsia="Calibri" w:hAnsi="Calibri" w:cs="Calibri"/>
                <w:vertAlign w:val="superscript"/>
              </w:rPr>
              <w:t>th</w:t>
            </w:r>
            <w:r>
              <w:rPr>
                <w:rFonts w:ascii="Calibri" w:eastAsia="Calibri" w:hAnsi="Calibri" w:cs="Calibri"/>
              </w:rPr>
              <w:t xml:space="preserve"> and in the 14</w:t>
            </w:r>
            <w:r>
              <w:rPr>
                <w:rFonts w:ascii="Calibri" w:eastAsia="Calibri" w:hAnsi="Calibri" w:cs="Calibri"/>
                <w:vertAlign w:val="superscript"/>
              </w:rPr>
              <w:t>th</w:t>
            </w:r>
            <w:r>
              <w:rPr>
                <w:rFonts w:ascii="Calibri" w:eastAsia="Calibri" w:hAnsi="Calibri" w:cs="Calibri"/>
              </w:rPr>
              <w:t xml:space="preserve"> weeks. </w:t>
            </w:r>
          </w:p>
        </w:tc>
        <w:tc>
          <w:tcPr>
            <w:tcW w:w="1984" w:type="dxa"/>
            <w:vAlign w:val="center"/>
          </w:tcPr>
          <w:p w14:paraId="64714A30" w14:textId="77777777" w:rsidR="003C7CC8" w:rsidRDefault="00000000">
            <w:pPr>
              <w:pBdr>
                <w:top w:val="nil"/>
                <w:left w:val="nil"/>
                <w:bottom w:val="nil"/>
                <w:right w:val="nil"/>
                <w:between w:val="nil"/>
              </w:pBdr>
              <w:jc w:val="center"/>
              <w:rPr>
                <w:rFonts w:ascii="Calibri" w:eastAsia="Calibri" w:hAnsi="Calibri" w:cs="Calibri"/>
                <w:color w:val="000000"/>
              </w:rPr>
            </w:pPr>
            <w:r>
              <w:rPr>
                <w:rFonts w:ascii="Calibri" w:eastAsia="Calibri" w:hAnsi="Calibri" w:cs="Calibri"/>
                <w:color w:val="000000"/>
              </w:rPr>
              <w:t>50%</w:t>
            </w:r>
          </w:p>
        </w:tc>
      </w:tr>
      <w:tr w:rsidR="003C7CC8" w14:paraId="6D6A8870" w14:textId="77777777">
        <w:trPr>
          <w:trHeight w:val="477"/>
          <w:jc w:val="center"/>
        </w:trPr>
        <w:tc>
          <w:tcPr>
            <w:tcW w:w="2151" w:type="dxa"/>
            <w:vAlign w:val="center"/>
          </w:tcPr>
          <w:p w14:paraId="264DD826"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10.6. Bonus points</w:t>
            </w:r>
          </w:p>
        </w:tc>
        <w:tc>
          <w:tcPr>
            <w:tcW w:w="2953" w:type="dxa"/>
            <w:vAlign w:val="center"/>
          </w:tcPr>
          <w:p w14:paraId="1369FEB4"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Bonus for participating in research projects </w:t>
            </w:r>
          </w:p>
        </w:tc>
        <w:tc>
          <w:tcPr>
            <w:tcW w:w="2835" w:type="dxa"/>
            <w:vAlign w:val="center"/>
          </w:tcPr>
          <w:p w14:paraId="645CEB26"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Students participating in research projects </w:t>
            </w:r>
            <w:r>
              <w:rPr>
                <w:rFonts w:ascii="Calibri" w:eastAsia="Calibri" w:hAnsi="Calibri" w:cs="Calibri"/>
                <w:color w:val="000000"/>
              </w:rPr>
              <w:lastRenderedPageBreak/>
              <w:t xml:space="preserve">announced by the tenured teacher can accumulate up to 0.5 points. </w:t>
            </w:r>
          </w:p>
        </w:tc>
        <w:tc>
          <w:tcPr>
            <w:tcW w:w="1984" w:type="dxa"/>
            <w:vAlign w:val="center"/>
          </w:tcPr>
          <w:p w14:paraId="5BB5EDA4" w14:textId="77777777" w:rsidR="003C7CC8" w:rsidRDefault="00000000">
            <w:pPr>
              <w:pBdr>
                <w:top w:val="nil"/>
                <w:left w:val="nil"/>
                <w:bottom w:val="nil"/>
                <w:right w:val="nil"/>
                <w:between w:val="nil"/>
              </w:pBdr>
              <w:jc w:val="center"/>
              <w:rPr>
                <w:rFonts w:ascii="Calibri" w:eastAsia="Calibri" w:hAnsi="Calibri" w:cs="Calibri"/>
                <w:color w:val="000000"/>
              </w:rPr>
            </w:pPr>
            <w:r>
              <w:rPr>
                <w:rFonts w:ascii="Calibri" w:eastAsia="Calibri" w:hAnsi="Calibri" w:cs="Calibri"/>
                <w:color w:val="000000"/>
              </w:rPr>
              <w:lastRenderedPageBreak/>
              <w:t>5%</w:t>
            </w:r>
          </w:p>
        </w:tc>
      </w:tr>
      <w:tr w:rsidR="003C7CC8" w14:paraId="65F74102" w14:textId="77777777">
        <w:trPr>
          <w:trHeight w:val="159"/>
          <w:jc w:val="center"/>
        </w:trPr>
        <w:tc>
          <w:tcPr>
            <w:tcW w:w="9923" w:type="dxa"/>
            <w:gridSpan w:val="4"/>
            <w:vAlign w:val="center"/>
          </w:tcPr>
          <w:p w14:paraId="2B01250E"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10.7 Minimum performance standards</w:t>
            </w:r>
          </w:p>
        </w:tc>
      </w:tr>
      <w:tr w:rsidR="003C7CC8" w14:paraId="5D5EB9A4" w14:textId="77777777">
        <w:trPr>
          <w:trHeight w:val="288"/>
          <w:jc w:val="center"/>
        </w:trPr>
        <w:tc>
          <w:tcPr>
            <w:tcW w:w="9923" w:type="dxa"/>
            <w:gridSpan w:val="4"/>
            <w:vAlign w:val="center"/>
          </w:tcPr>
          <w:p w14:paraId="5985C909"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The final grade will be calculated based on the total number of points cumulated during the semester through the assessment tasks [(Exam * 50%) + (practical test 1 * 25%) + (practical test 2 * 25%)] = Final grade.</w:t>
            </w:r>
          </w:p>
          <w:p w14:paraId="7C7E39E7" w14:textId="77777777" w:rsidR="003C7CC8" w:rsidRDefault="003C7CC8">
            <w:pPr>
              <w:pBdr>
                <w:top w:val="nil"/>
                <w:left w:val="nil"/>
                <w:bottom w:val="nil"/>
                <w:right w:val="nil"/>
                <w:between w:val="nil"/>
              </w:pBdr>
              <w:rPr>
                <w:rFonts w:ascii="Calibri" w:eastAsia="Calibri" w:hAnsi="Calibri" w:cs="Calibri"/>
                <w:color w:val="000000"/>
              </w:rPr>
            </w:pPr>
          </w:p>
          <w:p w14:paraId="118058BE"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The minimum required grade to pass this course is 5, cumulated through all four assessment tasks. </w:t>
            </w:r>
          </w:p>
          <w:p w14:paraId="03D93463" w14:textId="77777777" w:rsidR="003C7CC8" w:rsidRDefault="003C7CC8">
            <w:pPr>
              <w:pBdr>
                <w:top w:val="nil"/>
                <w:left w:val="nil"/>
                <w:bottom w:val="nil"/>
                <w:right w:val="nil"/>
                <w:between w:val="nil"/>
              </w:pBdr>
              <w:rPr>
                <w:rFonts w:ascii="Calibri" w:eastAsia="Calibri" w:hAnsi="Calibri" w:cs="Calibri"/>
                <w:color w:val="000000"/>
              </w:rPr>
            </w:pPr>
          </w:p>
          <w:p w14:paraId="3EBB78C1"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Compensatory tasks</w:t>
            </w:r>
          </w:p>
          <w:p w14:paraId="39146632"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To regain attendance, students will have an additional task (analyzing a dataset provided by the instructor). Only students with 50% of the minimum required attendance are eligible for the compensatory task. </w:t>
            </w:r>
          </w:p>
          <w:p w14:paraId="5EA15D16" w14:textId="77777777" w:rsidR="003C7CC8" w:rsidRDefault="003C7CC8">
            <w:pPr>
              <w:pBdr>
                <w:top w:val="nil"/>
                <w:left w:val="nil"/>
                <w:bottom w:val="nil"/>
                <w:right w:val="nil"/>
                <w:between w:val="nil"/>
              </w:pBdr>
              <w:rPr>
                <w:rFonts w:ascii="Calibri" w:eastAsia="Calibri" w:hAnsi="Calibri" w:cs="Calibri"/>
                <w:color w:val="000000"/>
              </w:rPr>
            </w:pPr>
          </w:p>
          <w:p w14:paraId="6F7CF56C" w14:textId="77777777" w:rsidR="003C7CC8"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Bonus points for research participation</w:t>
            </w:r>
          </w:p>
          <w:p w14:paraId="27E027AC" w14:textId="77777777" w:rsidR="003C7CC8" w:rsidRDefault="000000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The bonus points are added to the grade only after accumulating the minimum required grade from the four existing course assessments. </w:t>
            </w:r>
          </w:p>
        </w:tc>
      </w:tr>
    </w:tbl>
    <w:p w14:paraId="16049F59" w14:textId="77777777" w:rsidR="003C7CC8" w:rsidRDefault="003C7CC8">
      <w:pPr>
        <w:spacing w:line="276" w:lineRule="auto"/>
        <w:jc w:val="center"/>
        <w:rPr>
          <w:rFonts w:ascii="Calibri" w:eastAsia="Calibri" w:hAnsi="Calibri" w:cs="Calibri"/>
        </w:rPr>
      </w:pPr>
    </w:p>
    <w:p w14:paraId="4A61D9D8" w14:textId="77777777" w:rsidR="003C7CC8" w:rsidRDefault="00000000">
      <w:pPr>
        <w:spacing w:line="276" w:lineRule="auto"/>
        <w:jc w:val="both"/>
        <w:rPr>
          <w:rFonts w:ascii="Calibri" w:eastAsia="Calibri" w:hAnsi="Calibri" w:cs="Calibri"/>
        </w:rPr>
      </w:pPr>
      <w:r>
        <w:rPr>
          <w:rFonts w:ascii="Calibri" w:eastAsia="Calibri" w:hAnsi="Calibri" w:cs="Calibri"/>
          <w:b/>
          <w:bCs/>
        </w:rPr>
        <w:t>Date of submission:                                                       Titular of the course</w:t>
      </w:r>
      <w:r>
        <w:rPr>
          <w:rFonts w:ascii="Calibri" w:eastAsia="Calibri" w:hAnsi="Calibri" w:cs="Calibri"/>
        </w:rPr>
        <w:t>:</w:t>
      </w:r>
    </w:p>
    <w:p w14:paraId="26EF1C5F" w14:textId="77777777" w:rsidR="003C7CC8" w:rsidRDefault="00000000">
      <w:pPr>
        <w:spacing w:line="276" w:lineRule="auto"/>
        <w:jc w:val="both"/>
        <w:rPr>
          <w:rFonts w:ascii="Calibri" w:eastAsia="Calibri" w:hAnsi="Calibri" w:cs="Calibri"/>
        </w:rPr>
      </w:pPr>
      <w:r>
        <w:rPr>
          <w:rFonts w:ascii="Calibri" w:eastAsia="Calibri" w:hAnsi="Calibri" w:cs="Calibri"/>
        </w:rPr>
        <w:t>07.02.2025                                                                       Assoc. Prof. Andrei RUSU</w:t>
      </w:r>
    </w:p>
    <w:p w14:paraId="3E202761" w14:textId="77777777" w:rsidR="003C7CC8" w:rsidRDefault="003C7CC8">
      <w:pPr>
        <w:spacing w:line="276" w:lineRule="auto"/>
        <w:jc w:val="both"/>
        <w:rPr>
          <w:rFonts w:ascii="Calibri" w:eastAsia="Calibri" w:hAnsi="Calibri" w:cs="Calibri"/>
        </w:rPr>
      </w:pPr>
    </w:p>
    <w:p w14:paraId="729376EC" w14:textId="77777777" w:rsidR="003C7CC8" w:rsidRDefault="003C7CC8">
      <w:pPr>
        <w:spacing w:line="276" w:lineRule="auto"/>
        <w:jc w:val="both"/>
        <w:rPr>
          <w:rFonts w:ascii="Calibri" w:eastAsia="Calibri" w:hAnsi="Calibri" w:cs="Calibri"/>
        </w:rPr>
      </w:pPr>
    </w:p>
    <w:p w14:paraId="1E462EE7" w14:textId="77777777" w:rsidR="003C7CC8" w:rsidRDefault="00000000">
      <w:pPr>
        <w:spacing w:line="276" w:lineRule="auto"/>
        <w:jc w:val="both"/>
        <w:rPr>
          <w:rFonts w:ascii="Calibri" w:eastAsia="Calibri" w:hAnsi="Calibri" w:cs="Calibri"/>
        </w:rPr>
      </w:pPr>
      <w:r>
        <w:rPr>
          <w:rFonts w:ascii="Calibri" w:eastAsia="Calibri" w:hAnsi="Calibri" w:cs="Calibri"/>
          <w:b/>
          <w:bCs/>
        </w:rPr>
        <w:t>Date of approval in department:                                Seminary titular</w:t>
      </w:r>
      <w:r>
        <w:rPr>
          <w:rFonts w:ascii="Calibri" w:eastAsia="Calibri" w:hAnsi="Calibri" w:cs="Calibri"/>
        </w:rPr>
        <w:t>:</w:t>
      </w:r>
    </w:p>
    <w:p w14:paraId="05820E71" w14:textId="46B87AC1" w:rsidR="003C7CC8" w:rsidRDefault="00000000">
      <w:pPr>
        <w:spacing w:line="276" w:lineRule="auto"/>
        <w:jc w:val="both"/>
        <w:rPr>
          <w:rFonts w:ascii="Calibri" w:eastAsia="Calibri" w:hAnsi="Calibri" w:cs="Calibri"/>
        </w:rPr>
      </w:pPr>
      <w:r>
        <w:rPr>
          <w:rFonts w:ascii="Calibri" w:eastAsia="Calibri" w:hAnsi="Calibri" w:cs="Calibri"/>
        </w:rPr>
        <w:t xml:space="preserve">                                                                                           </w:t>
      </w:r>
      <w:r w:rsidR="009C5ED4">
        <w:rPr>
          <w:rFonts w:ascii="Calibri" w:eastAsia="Calibri" w:hAnsi="Calibri" w:cs="Calibri"/>
        </w:rPr>
        <w:t>Assist. Prof. Darian FAUR</w:t>
      </w:r>
    </w:p>
    <w:p w14:paraId="6970B334" w14:textId="77777777" w:rsidR="003C7CC8" w:rsidRDefault="003C7CC8">
      <w:pPr>
        <w:spacing w:line="276" w:lineRule="auto"/>
        <w:jc w:val="both"/>
        <w:rPr>
          <w:rFonts w:ascii="Calibri" w:eastAsia="Calibri" w:hAnsi="Calibri" w:cs="Calibri"/>
        </w:rPr>
      </w:pPr>
    </w:p>
    <w:p w14:paraId="2397CDE6" w14:textId="77777777" w:rsidR="003C7CC8" w:rsidRDefault="003C7CC8">
      <w:pPr>
        <w:spacing w:line="276" w:lineRule="auto"/>
        <w:jc w:val="both"/>
        <w:rPr>
          <w:rFonts w:ascii="Calibri" w:eastAsia="Calibri" w:hAnsi="Calibri" w:cs="Calibri"/>
        </w:rPr>
      </w:pPr>
    </w:p>
    <w:p w14:paraId="11C2BBA3" w14:textId="77777777" w:rsidR="003C7CC8" w:rsidRDefault="00000000">
      <w:pPr>
        <w:spacing w:line="276" w:lineRule="auto"/>
        <w:jc w:val="center"/>
        <w:rPr>
          <w:rFonts w:ascii="Calibri" w:eastAsia="Calibri" w:hAnsi="Calibri" w:cs="Calibri"/>
        </w:rPr>
      </w:pPr>
      <w:r>
        <w:rPr>
          <w:rFonts w:ascii="Calibri" w:eastAsia="Calibri" w:hAnsi="Calibri" w:cs="Calibri"/>
          <w:b/>
          <w:bCs/>
        </w:rPr>
        <w:t>HEAD OF THE DEPARTMENT</w:t>
      </w:r>
      <w:r>
        <w:rPr>
          <w:rFonts w:ascii="Calibri" w:eastAsia="Calibri" w:hAnsi="Calibri" w:cs="Calibri"/>
        </w:rPr>
        <w:t>:</w:t>
      </w:r>
    </w:p>
    <w:p w14:paraId="76A50FD6" w14:textId="77777777" w:rsidR="003C7CC8" w:rsidRDefault="00000000">
      <w:pPr>
        <w:spacing w:line="276" w:lineRule="auto"/>
        <w:jc w:val="center"/>
        <w:rPr>
          <w:rFonts w:ascii="Calibri" w:eastAsia="Calibri" w:hAnsi="Calibri" w:cs="Calibri"/>
        </w:rPr>
      </w:pPr>
      <w:r>
        <w:rPr>
          <w:rFonts w:ascii="Calibri" w:eastAsia="Calibri" w:hAnsi="Calibri" w:cs="Calibri"/>
        </w:rPr>
        <w:t>Assoc. Prof. Andrei RUSU</w:t>
      </w:r>
    </w:p>
    <w:sectPr w:rsidR="003C7CC8">
      <w:headerReference w:type="default" r:id="rId10"/>
      <w:footerReference w:type="even" r:id="rId11"/>
      <w:footerReference w:type="default" r:id="rId12"/>
      <w:headerReference w:type="first" r:id="rId13"/>
      <w:footerReference w:type="first" r:id="rId14"/>
      <w:pgSz w:w="11906" w:h="16838"/>
      <w:pgMar w:top="2016" w:right="1133" w:bottom="1418" w:left="1418" w:header="288" w:footer="86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13819" w14:textId="77777777" w:rsidR="00F77D91" w:rsidRDefault="00F77D91">
      <w:r>
        <w:separator/>
      </w:r>
    </w:p>
  </w:endnote>
  <w:endnote w:type="continuationSeparator" w:id="0">
    <w:p w14:paraId="37F9E4FC" w14:textId="77777777" w:rsidR="00F77D91" w:rsidRDefault="00F77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33B46E4-4107-4FAF-970A-AEA431E4B67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B9564C5-2CDB-4AF8-9783-E6A3061FE78E}"/>
    <w:embedBold r:id="rId3" w:fontKey="{0777BFCD-06A5-4F74-9151-1DFB20C4AC8B}"/>
    <w:embedItalic r:id="rId4" w:fontKey="{7388AEC0-3FA8-41F5-92BA-78DD415E269D}"/>
    <w:embedBoldItalic r:id="rId5" w:fontKey="{E0F43732-8619-4EFD-8527-3D9185B65686}"/>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05CCB37D-0A90-448A-9C42-245FC6574143}"/>
    <w:embedBold r:id="rId7" w:fontKey="{E9B1EE8A-E9C2-457D-886E-3DB0B3E2F1E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8" w:fontKey="{4DBDE0D0-7499-47B3-BA5C-4069F7BB5324}"/>
    <w:embedBold r:id="rId9" w:fontKey="{5AF2BAE7-1C4A-424F-9794-4C5F25237135}"/>
  </w:font>
  <w:font w:name="Myriad Pro">
    <w:altName w:val="Calibr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0" w:fontKey="{C8ECEEC1-4E32-4C87-936E-1281C5B061E3}"/>
  </w:font>
  <w:font w:name="Helvetica Neue">
    <w:altName w:val="Sylfae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Open Sans">
    <w:panose1 w:val="020B0606030504020204"/>
    <w:charset w:val="00"/>
    <w:family w:val="swiss"/>
    <w:pitch w:val="variable"/>
    <w:sig w:usb0="E00002EF" w:usb1="4000205B" w:usb2="00000028" w:usb3="00000000" w:csb0="0000019F" w:csb1="00000000"/>
    <w:embedRegular r:id="rId11" w:fontKey="{AFC142DE-6388-4C9D-8F95-40870EED24A3}"/>
  </w:font>
  <w:font w:name="Arial Narrow">
    <w:panose1 w:val="020B0606020202030204"/>
    <w:charset w:val="00"/>
    <w:family w:val="swiss"/>
    <w:pitch w:val="variable"/>
    <w:sig w:usb0="00000287" w:usb1="00000800" w:usb2="00000000" w:usb3="00000000" w:csb0="0000009F" w:csb1="00000000"/>
    <w:embedRegular r:id="rId12" w:fontKey="{81AA0FDF-23E6-45B6-B742-DB21FD44FF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C0465" w14:textId="77777777" w:rsidR="003C7CC8"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6219D7C" w14:textId="77777777" w:rsidR="003C7CC8"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2A3958F" w14:textId="77777777" w:rsidR="003C7CC8" w:rsidRDefault="003C7CC8">
    <w:pPr>
      <w:pBdr>
        <w:top w:val="nil"/>
        <w:left w:val="nil"/>
        <w:bottom w:val="nil"/>
        <w:right w:val="nil"/>
        <w:between w:val="nil"/>
      </w:pBdr>
      <w:tabs>
        <w:tab w:val="center" w:pos="4536"/>
        <w:tab w:val="right" w:pos="9072"/>
      </w:tabs>
      <w:ind w:right="360"/>
      <w:rPr>
        <w:color w:val="000000"/>
      </w:rPr>
    </w:pPr>
  </w:p>
  <w:p w14:paraId="48AD5DEC" w14:textId="77777777" w:rsidR="003C7CC8" w:rsidRDefault="003C7CC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2CFB55" w14:textId="77777777" w:rsidR="003C7CC8" w:rsidRDefault="003C7CC8">
    <w:pPr>
      <w:ind w:right="360"/>
      <w:rPr>
        <w:rFonts w:ascii="Arial Narrow" w:eastAsia="Arial Narrow" w:hAnsi="Arial Narrow" w:cs="Arial Narrow"/>
        <w:color w:val="FFFFFF"/>
        <w:sz w:val="22"/>
        <w:szCs w:val="22"/>
      </w:rPr>
    </w:pPr>
    <w:hyperlink r:id="rId1">
      <w:r>
        <w:rPr>
          <w:rFonts w:ascii="Arial Narrow" w:eastAsia="Arial Narrow" w:hAnsi="Arial Narrow" w:cs="Arial Narrow"/>
          <w:color w:val="FFFFFF"/>
          <w:sz w:val="22"/>
          <w:szCs w:val="22"/>
          <w:u w:val="single"/>
        </w:rPr>
        <w:t>Website: http://www.uvt.ro/</w:t>
      </w:r>
    </w:hyperlink>
    <w:r w:rsidR="00000000">
      <w:rPr>
        <w:noProof/>
      </w:rPr>
      <mc:AlternateContent>
        <mc:Choice Requires="wps">
          <w:drawing>
            <wp:anchor distT="0" distB="0" distL="114300" distR="114300" simplePos="0" relativeHeight="251664384" behindDoc="0" locked="0" layoutInCell="1" hidden="0" allowOverlap="1" wp14:anchorId="5E3EA2EB" wp14:editId="23FCF900">
              <wp:simplePos x="0" y="0"/>
              <wp:positionH relativeFrom="column">
                <wp:posOffset>-877566</wp:posOffset>
              </wp:positionH>
              <wp:positionV relativeFrom="paragraph">
                <wp:posOffset>142876</wp:posOffset>
              </wp:positionV>
              <wp:extent cx="7505065" cy="675005"/>
              <wp:effectExtent l="0" t="0" r="0" b="0"/>
              <wp:wrapNone/>
              <wp:docPr id="42" name="Rectangle 42"/>
              <wp:cNvGraphicFramePr/>
              <a:graphic xmlns:a="http://schemas.openxmlformats.org/drawingml/2006/main">
                <a:graphicData uri="http://schemas.microsoft.com/office/word/2010/wordprocessingShape">
                  <wps:wsp>
                    <wps:cNvSpPr/>
                    <wps:spPr>
                      <a:xfrm>
                        <a:off x="1602993" y="3452023"/>
                        <a:ext cx="7486015" cy="655955"/>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0E83BC01" w14:textId="77777777" w:rsidR="003C7CC8" w:rsidRDefault="00000000">
                          <w:pPr>
                            <w:ind w:left="-425" w:right="-158" w:hanging="850"/>
                            <w:jc w:val="center"/>
                            <w:textDirection w:val="btLr"/>
                          </w:pPr>
                          <w:r>
                            <w:rPr>
                              <w:rFonts w:ascii="Arial" w:eastAsia="Arial" w:hAnsi="Arial" w:cs="Arial"/>
                              <w:color w:val="A6A6A6"/>
                              <w:sz w:val="17"/>
                              <w:highlight w:val="white"/>
                            </w:rPr>
                            <w:t xml:space="preserve"> Adresă poștală: Bd. Vasile Pârvan nr. 4, cod poștal 300223, Timișoara, jud. Timiș, România</w:t>
                          </w:r>
                          <w:r>
                            <w:rPr>
                              <w:rFonts w:ascii="Arial" w:eastAsia="Arial" w:hAnsi="Arial" w:cs="Arial"/>
                              <w:color w:val="A6A6A6"/>
                              <w:sz w:val="17"/>
                              <w:highlight w:val="white"/>
                            </w:rPr>
                            <w:br/>
                            <w:t>Număr de telefon: +40-(0)256-592.300 (310)</w:t>
                          </w:r>
                        </w:p>
                        <w:p w14:paraId="6ED03BDE" w14:textId="77777777" w:rsidR="003C7CC8" w:rsidRDefault="00000000">
                          <w:pPr>
                            <w:ind w:left="-425" w:right="-158" w:hanging="850"/>
                            <w:jc w:val="center"/>
                            <w:textDirection w:val="btLr"/>
                          </w:pPr>
                          <w:r>
                            <w:rPr>
                              <w:rFonts w:ascii="Arial" w:eastAsia="Arial" w:hAnsi="Arial" w:cs="Arial"/>
                              <w:color w:val="A6A6A6"/>
                              <w:sz w:val="17"/>
                            </w:rPr>
                            <w:t xml:space="preserve">             Adresă de e-mail: </w:t>
                          </w:r>
                          <w:r>
                            <w:rPr>
                              <w:rFonts w:ascii="Arial" w:eastAsia="Arial" w:hAnsi="Arial" w:cs="Arial"/>
                              <w:color w:val="0000FF"/>
                              <w:sz w:val="17"/>
                              <w:highlight w:val="white"/>
                              <w:u w:val="single"/>
                            </w:rPr>
                            <w:t>secretariat@e-uvt.ro</w:t>
                          </w:r>
                          <w:r>
                            <w:rPr>
                              <w:rFonts w:ascii="Arial" w:eastAsia="Arial" w:hAnsi="Arial" w:cs="Arial"/>
                              <w:color w:val="A6A6A6"/>
                              <w:sz w:val="17"/>
                              <w:highlight w:val="white"/>
                            </w:rPr>
                            <w:t xml:space="preserve"> </w:t>
                          </w:r>
                        </w:p>
                        <w:p w14:paraId="459594C1" w14:textId="77777777" w:rsidR="003C7CC8"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1678998A" w14:textId="77777777" w:rsidR="003C7CC8" w:rsidRDefault="003C7CC8">
                          <w:pPr>
                            <w:textDirection w:val="btLr"/>
                          </w:pPr>
                        </w:p>
                      </w:txbxContent>
                    </wps:txbx>
                    <wps:bodyPr spcFirstLastPara="1" wrap="square" lIns="91425" tIns="45700" rIns="91425" bIns="45700" anchor="t" anchorCtr="0">
                      <a:noAutofit/>
                    </wps:bodyPr>
                  </wps:wsp>
                </a:graphicData>
              </a:graphic>
            </wp:anchor>
          </w:drawing>
        </mc:Choice>
        <mc:Fallback>
          <w:pict>
            <v:rect w14:anchorId="5E3EA2EB" id="Rectangle 42" o:spid="_x0000_s1027" style="position:absolute;margin-left:-69.1pt;margin-top:11.25pt;width:590.95pt;height:53.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" strokecolor="white">
              <v:stroke startarrowwidth="narrow" startarrowlength="short" endarrowwidth="narrow" endarrowlength="short"/>
              <v:textbox inset="2.53958mm,1.2694mm,2.53958mm,1.2694mm">
                <w:txbxContent>
                  <w:p w14:paraId="0E83BC01" w14:textId="77777777" w:rsidR="003C7CC8" w:rsidRDefault="00000000">
                    <w:pPr>
                      <w:ind w:left="-425" w:right="-158" w:hanging="850"/>
                      <w:jc w:val="center"/>
                      <w:textDirection w:val="btLr"/>
                    </w:pPr>
                    <w:r>
                      <w:rPr>
                        <w:rFonts w:ascii="Arial" w:eastAsia="Arial" w:hAnsi="Arial" w:cs="Arial"/>
                        <w:color w:val="A6A6A6"/>
                        <w:sz w:val="17"/>
                        <w:highlight w:val="white"/>
                      </w:rPr>
                      <w:t xml:space="preserve"> Adresă poștală: Bd. Vasile Pârvan nr. 4, cod poștal 300223, Timișoara, jud. Timiș, România</w:t>
                    </w:r>
                    <w:r>
                      <w:rPr>
                        <w:rFonts w:ascii="Arial" w:eastAsia="Arial" w:hAnsi="Arial" w:cs="Arial"/>
                        <w:color w:val="A6A6A6"/>
                        <w:sz w:val="17"/>
                        <w:highlight w:val="white"/>
                      </w:rPr>
                      <w:br/>
                      <w:t>Număr de telefon: +40-(0)256-592.300 (310)</w:t>
                    </w:r>
                  </w:p>
                  <w:p w14:paraId="6ED03BDE" w14:textId="77777777" w:rsidR="003C7CC8" w:rsidRDefault="00000000">
                    <w:pPr>
                      <w:ind w:left="-425" w:right="-158" w:hanging="850"/>
                      <w:jc w:val="center"/>
                      <w:textDirection w:val="btLr"/>
                    </w:pPr>
                    <w:r>
                      <w:rPr>
                        <w:rFonts w:ascii="Arial" w:eastAsia="Arial" w:hAnsi="Arial" w:cs="Arial"/>
                        <w:color w:val="A6A6A6"/>
                        <w:sz w:val="17"/>
                      </w:rPr>
                      <w:t xml:space="preserve">             Adresă de e-mail: </w:t>
                    </w:r>
                    <w:r>
                      <w:rPr>
                        <w:rFonts w:ascii="Arial" w:eastAsia="Arial" w:hAnsi="Arial" w:cs="Arial"/>
                        <w:color w:val="0000FF"/>
                        <w:sz w:val="17"/>
                        <w:highlight w:val="white"/>
                        <w:u w:val="single"/>
                      </w:rPr>
                      <w:t>secretariat@e-uvt.ro</w:t>
                    </w:r>
                    <w:r>
                      <w:rPr>
                        <w:rFonts w:ascii="Arial" w:eastAsia="Arial" w:hAnsi="Arial" w:cs="Arial"/>
                        <w:color w:val="A6A6A6"/>
                        <w:sz w:val="17"/>
                        <w:highlight w:val="white"/>
                      </w:rPr>
                      <w:t xml:space="preserve"> </w:t>
                    </w:r>
                  </w:p>
                  <w:p w14:paraId="459594C1" w14:textId="77777777" w:rsidR="003C7CC8"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1678998A" w14:textId="77777777" w:rsidR="003C7CC8" w:rsidRDefault="003C7CC8">
                    <w:pPr>
                      <w:textDirection w:val="btLr"/>
                    </w:pPr>
                  </w:p>
                </w:txbxContent>
              </v:textbox>
            </v:rect>
          </w:pict>
        </mc:Fallback>
      </mc:AlternateContent>
    </w:r>
  </w:p>
  <w:p w14:paraId="33B2AA25" w14:textId="77777777" w:rsidR="003C7CC8" w:rsidRDefault="003C7CC8">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F2A22" w14:textId="77777777" w:rsidR="003C7CC8" w:rsidRDefault="0000000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114300" distR="114300" simplePos="0" relativeHeight="251665408" behindDoc="0" locked="0" layoutInCell="1" hidden="0" allowOverlap="1" wp14:anchorId="0E896CB1" wp14:editId="491B6C2F">
              <wp:simplePos x="0" y="0"/>
              <wp:positionH relativeFrom="column">
                <wp:posOffset>-9522</wp:posOffset>
              </wp:positionH>
              <wp:positionV relativeFrom="paragraph">
                <wp:posOffset>-9522</wp:posOffset>
              </wp:positionV>
              <wp:extent cx="7305675" cy="675005"/>
              <wp:effectExtent l="0" t="0" r="0" b="0"/>
              <wp:wrapNone/>
              <wp:docPr id="41" name="Rectangle 41"/>
              <wp:cNvGraphicFramePr/>
              <a:graphic xmlns:a="http://schemas.openxmlformats.org/drawingml/2006/main">
                <a:graphicData uri="http://schemas.microsoft.com/office/word/2010/wordprocessingShape">
                  <wps:wsp>
                    <wps:cNvSpPr/>
                    <wps:spPr>
                      <a:xfrm>
                        <a:off x="1702688" y="3452023"/>
                        <a:ext cx="7286625" cy="655955"/>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42940AB6" w14:textId="77777777" w:rsidR="003C7CC8" w:rsidRDefault="00000000">
                          <w:pPr>
                            <w:ind w:left="-425" w:right="-158" w:hanging="850"/>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446BB78B" w14:textId="77777777" w:rsidR="003C7CC8" w:rsidRDefault="00000000">
                          <w:pPr>
                            <w:ind w:left="-425" w:right="-158" w:hanging="850"/>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736D17A6" w14:textId="77777777" w:rsidR="003C7CC8"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wps:txbx>
                    <wps:bodyPr spcFirstLastPara="1" wrap="square" lIns="91425" tIns="45700" rIns="91425" bIns="45700" anchor="t" anchorCtr="0">
                      <a:noAutofit/>
                    </wps:bodyPr>
                  </wps:wsp>
                </a:graphicData>
              </a:graphic>
            </wp:anchor>
          </w:drawing>
        </mc:Choice>
        <mc:Fallback>
          <w:pict>
            <v:rect w14:anchorId="0E896CB1" id="Rectangle 41" o:spid="_x0000_s1029" style="position:absolute;margin-left:-.75pt;margin-top:-.75pt;width:575.25pt;height:53.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" strokecolor="white [3201]">
              <v:stroke startarrowwidth="narrow" startarrowlength="short" endarrowwidth="narrow" endarrowlength="short"/>
              <v:textbox inset="2.53958mm,1.2694mm,2.53958mm,1.2694mm">
                <w:txbxContent>
                  <w:p w14:paraId="42940AB6" w14:textId="77777777" w:rsidR="003C7CC8" w:rsidRDefault="00000000">
                    <w:pPr>
                      <w:ind w:left="-425" w:right="-158" w:hanging="850"/>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446BB78B" w14:textId="77777777" w:rsidR="003C7CC8" w:rsidRDefault="00000000">
                    <w:pPr>
                      <w:ind w:left="-425" w:right="-158" w:hanging="850"/>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736D17A6" w14:textId="77777777" w:rsidR="003C7CC8"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3AAA6" w14:textId="77777777" w:rsidR="00F77D91" w:rsidRDefault="00F77D91">
      <w:r>
        <w:separator/>
      </w:r>
    </w:p>
  </w:footnote>
  <w:footnote w:type="continuationSeparator" w:id="0">
    <w:p w14:paraId="67BED60C" w14:textId="77777777" w:rsidR="00F77D91" w:rsidRDefault="00F77D91">
      <w:r>
        <w:continuationSeparator/>
      </w:r>
    </w:p>
  </w:footnote>
  <w:footnote w:id="1">
    <w:p w14:paraId="3C123585" w14:textId="77777777" w:rsidR="003C7CC8" w:rsidRDefault="00000000">
      <w:pPr>
        <w:jc w:val="both"/>
        <w:rPr>
          <w:rFonts w:ascii="Calibri" w:eastAsia="Calibri" w:hAnsi="Calibri" w:cs="Calibri"/>
          <w:sz w:val="20"/>
          <w:szCs w:val="20"/>
        </w:rPr>
      </w:pPr>
      <w:r>
        <w:rPr>
          <w:rStyle w:val="FootnoteReference"/>
        </w:rPr>
        <w:footnoteRef/>
      </w:r>
      <w:r>
        <w:rPr>
          <w:rFonts w:ascii="Calibri" w:eastAsia="Calibri" w:hAnsi="Calibri" w:cs="Calibri"/>
          <w:sz w:val="20"/>
          <w:szCs w:val="20"/>
        </w:rPr>
        <w:t xml:space="preserve"> According to article 37, paragraph (1) of the Higher Education Law no. 199/2023, with subsequent amendments and additions, "the academic success of a student during a study program is determined by verifying the acquisition of the expected learning outcomes through exam-type evaluations and evaluation throughout the semester".</w:t>
      </w:r>
    </w:p>
  </w:footnote>
  <w:footnote w:id="2">
    <w:p w14:paraId="219BFF1E" w14:textId="77777777" w:rsidR="003C7CC8" w:rsidRPr="009C5ED4" w:rsidRDefault="00000000">
      <w:pPr>
        <w:pBdr>
          <w:top w:val="nil"/>
          <w:left w:val="nil"/>
          <w:bottom w:val="nil"/>
          <w:right w:val="nil"/>
          <w:between w:val="nil"/>
        </w:pBdr>
        <w:jc w:val="both"/>
        <w:rPr>
          <w:rFonts w:ascii="Calibri" w:eastAsia="Calibri" w:hAnsi="Calibri" w:cs="Calibri"/>
          <w:color w:val="000000"/>
          <w:sz w:val="20"/>
          <w:szCs w:val="20"/>
        </w:rPr>
      </w:pPr>
      <w:r w:rsidRPr="009C5ED4">
        <w:rPr>
          <w:rStyle w:val="FootnoteReference"/>
        </w:rPr>
        <w:footnoteRef/>
      </w:r>
      <w:r w:rsidRPr="009C5ED4">
        <w:rPr>
          <w:rFonts w:ascii="Calibri" w:eastAsia="Calibri" w:hAnsi="Calibri" w:cs="Calibri"/>
          <w:color w:val="000000"/>
          <w:sz w:val="20"/>
          <w:szCs w:val="20"/>
        </w:rPr>
        <w:t xml:space="preserve"> The total number of contact hours and individual study hours will be aligned with the number of credits allocated to the course. One credit corresponds to a total between 25 and 30 hours of teaching activities and individual study.  At the level of academic departments may establish, by discipline categories, the exact equivalence between one credit and the number of hours.</w:t>
      </w:r>
    </w:p>
  </w:footnote>
  <w:footnote w:id="3">
    <w:p w14:paraId="7896E688" w14:textId="77777777" w:rsidR="003C7CC8" w:rsidRPr="009C5ED4" w:rsidRDefault="00000000">
      <w:pPr>
        <w:pBdr>
          <w:top w:val="nil"/>
          <w:left w:val="nil"/>
          <w:bottom w:val="nil"/>
          <w:right w:val="nil"/>
          <w:between w:val="nil"/>
        </w:pBdr>
        <w:jc w:val="both"/>
        <w:rPr>
          <w:rFonts w:ascii="Calibri" w:eastAsia="Calibri" w:hAnsi="Calibri" w:cs="Calibri"/>
          <w:color w:val="000000"/>
          <w:sz w:val="20"/>
          <w:szCs w:val="20"/>
        </w:rPr>
      </w:pPr>
      <w:r w:rsidRPr="009C5ED4">
        <w:rPr>
          <w:rStyle w:val="FootnoteReference"/>
        </w:rPr>
        <w:footnoteRef/>
      </w:r>
      <w:r w:rsidRPr="009C5ED4">
        <w:rPr>
          <w:rFonts w:ascii="Calibri" w:eastAsia="Calibri" w:hAnsi="Calibri" w:cs="Calibri"/>
          <w:color w:val="000000"/>
          <w:sz w:val="20"/>
          <w:szCs w:val="20"/>
        </w:rPr>
        <w:t xml:space="preserve"> The hours corresponding to examinations are added only to the point 3.8 – The total hours per semester, not to be added to the point 3.7 – Total hours of individual study.</w:t>
      </w:r>
    </w:p>
  </w:footnote>
  <w:footnote w:id="4">
    <w:p w14:paraId="5016D7EE" w14:textId="77777777" w:rsidR="003C7CC8" w:rsidRDefault="00000000">
      <w:pPr>
        <w:pBdr>
          <w:top w:val="nil"/>
          <w:left w:val="nil"/>
          <w:bottom w:val="nil"/>
          <w:right w:val="nil"/>
          <w:between w:val="nil"/>
        </w:pBdr>
        <w:jc w:val="both"/>
        <w:rPr>
          <w:rFonts w:ascii="Calibri" w:eastAsia="Calibri" w:hAnsi="Calibri" w:cs="Calibri"/>
          <w:color w:val="000000"/>
          <w:sz w:val="20"/>
          <w:szCs w:val="20"/>
        </w:rPr>
      </w:pPr>
      <w:r w:rsidRPr="009C5ED4">
        <w:rPr>
          <w:rStyle w:val="FootnoteReference"/>
        </w:rPr>
        <w:footnoteRef/>
      </w:r>
      <w:r w:rsidRPr="009C5ED4">
        <w:rPr>
          <w:rFonts w:ascii="Calibri" w:eastAsia="Calibri" w:hAnsi="Calibri" w:cs="Calibri"/>
          <w:color w:val="000000"/>
          <w:sz w:val="20"/>
          <w:szCs w:val="20"/>
        </w:rPr>
        <w:t xml:space="preserve"> Total hours per semester = total hours in the curriculum + total hours of individual study + hours allocated to examinations.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A6F72" w14:textId="77777777" w:rsidR="003C7CC8" w:rsidRDefault="00000000">
    <w:pPr>
      <w:pBdr>
        <w:top w:val="nil"/>
        <w:left w:val="nil"/>
        <w:bottom w:val="nil"/>
        <w:right w:val="nil"/>
        <w:between w:val="nil"/>
      </w:pBdr>
      <w:tabs>
        <w:tab w:val="center" w:pos="4536"/>
        <w:tab w:val="right" w:pos="9072"/>
      </w:tabs>
      <w:ind w:left="-540" w:right="-158" w:firstLine="5220"/>
      <w:rPr>
        <w:color w:val="000000"/>
      </w:rPr>
    </w:pPr>
    <w:r>
      <w:rPr>
        <w:noProof/>
      </w:rPr>
      <mc:AlternateContent>
        <mc:Choice Requires="wps">
          <w:drawing>
            <wp:anchor distT="0" distB="0" distL="114300" distR="114300" simplePos="0" relativeHeight="251658240" behindDoc="0" locked="0" layoutInCell="1" hidden="0" allowOverlap="1" wp14:anchorId="64E504CE" wp14:editId="40F62E79">
              <wp:simplePos x="0" y="0"/>
              <wp:positionH relativeFrom="column">
                <wp:posOffset>1802765</wp:posOffset>
              </wp:positionH>
              <wp:positionV relativeFrom="paragraph">
                <wp:posOffset>427355</wp:posOffset>
              </wp:positionV>
              <wp:extent cx="4770120" cy="393450"/>
              <wp:effectExtent l="0" t="0" r="0" b="0"/>
              <wp:wrapNone/>
              <wp:docPr id="43" name="Rectangle 43"/>
              <wp:cNvGraphicFramePr/>
              <a:graphic xmlns:a="http://schemas.openxmlformats.org/drawingml/2006/main">
                <a:graphicData uri="http://schemas.microsoft.com/office/word/2010/wordprocessingShape">
                  <wps:wsp>
                    <wps:cNvSpPr/>
                    <wps:spPr>
                      <a:xfrm>
                        <a:off x="2970465" y="3592800"/>
                        <a:ext cx="4751070" cy="374400"/>
                      </a:xfrm>
                      <a:prstGeom prst="rect">
                        <a:avLst/>
                      </a:prstGeom>
                      <a:solidFill>
                        <a:srgbClr val="FFFFFF"/>
                      </a:solidFill>
                      <a:ln>
                        <a:noFill/>
                      </a:ln>
                    </wps:spPr>
                    <wps:txbx>
                      <w:txbxContent>
                        <w:p w14:paraId="593904C7" w14:textId="77777777" w:rsidR="003C7CC8" w:rsidRDefault="00000000">
                          <w:pPr>
                            <w:jc w:val="right"/>
                            <w:textDirection w:val="btLr"/>
                          </w:pPr>
                          <w:r>
                            <w:rPr>
                              <w:rFonts w:ascii="Open Sans" w:eastAsia="Open Sans" w:hAnsi="Open Sans" w:cs="Open Sans"/>
                              <w:color w:val="548DD4"/>
                              <w:sz w:val="16"/>
                            </w:rPr>
                            <w:t>MINISTERUL EDUCAȚIEI ȘI CERCETĂRII</w:t>
                          </w:r>
                        </w:p>
                        <w:p w14:paraId="7B793376" w14:textId="77777777" w:rsidR="003C7CC8" w:rsidRDefault="00000000">
                          <w:pPr>
                            <w:jc w:val="right"/>
                            <w:textDirection w:val="btLr"/>
                          </w:pPr>
                          <w:r>
                            <w:rPr>
                              <w:rFonts w:ascii="Calibri" w:eastAsia="Calibri" w:hAnsi="Calibri" w:cs="Calibri"/>
                              <w:color w:val="5A5A5A"/>
                              <w:sz w:val="22"/>
                            </w:rPr>
                            <w:t>UNIVERSITATEA DE VEST DIN TIMIȘOARA</w:t>
                          </w:r>
                        </w:p>
                        <w:p w14:paraId="73B828A8" w14:textId="77777777" w:rsidR="003C7CC8" w:rsidRDefault="003C7CC8">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64E504CE" id="Rectangle 43" o:spid="_x0000_s1026" style="position:absolute;left:0;text-align:left;margin-left:141.95pt;margin-top:33.65pt;width:375.6pt;height:31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" stroked="f">
              <v:textbox inset="2.53958mm,1.2694mm,2.53958mm,1.2694mm">
                <w:txbxContent>
                  <w:p w14:paraId="593904C7" w14:textId="77777777" w:rsidR="003C7CC8" w:rsidRDefault="00000000">
                    <w:pPr>
                      <w:jc w:val="right"/>
                      <w:textDirection w:val="btLr"/>
                    </w:pPr>
                    <w:r>
                      <w:rPr>
                        <w:rFonts w:ascii="Open Sans" w:eastAsia="Open Sans" w:hAnsi="Open Sans" w:cs="Open Sans"/>
                        <w:color w:val="548DD4"/>
                        <w:sz w:val="16"/>
                      </w:rPr>
                      <w:t>MINISTERUL EDUCAȚIEI ȘI CERCETĂRII</w:t>
                    </w:r>
                  </w:p>
                  <w:p w14:paraId="7B793376" w14:textId="77777777" w:rsidR="003C7CC8" w:rsidRDefault="00000000">
                    <w:pPr>
                      <w:jc w:val="right"/>
                      <w:textDirection w:val="btLr"/>
                    </w:pPr>
                    <w:r>
                      <w:rPr>
                        <w:rFonts w:ascii="Calibri" w:eastAsia="Calibri" w:hAnsi="Calibri" w:cs="Calibri"/>
                        <w:color w:val="5A5A5A"/>
                        <w:sz w:val="22"/>
                      </w:rPr>
                      <w:t>UNIVERSITATEA DE VEST DIN TIMIȘOARA</w:t>
                    </w:r>
                  </w:p>
                  <w:p w14:paraId="73B828A8" w14:textId="77777777" w:rsidR="003C7CC8" w:rsidRDefault="003C7CC8">
                    <w:pPr>
                      <w:jc w:val="right"/>
                      <w:textDirection w:val="btLr"/>
                    </w:pPr>
                  </w:p>
                </w:txbxContent>
              </v:textbox>
            </v:rect>
          </w:pict>
        </mc:Fallback>
      </mc:AlternateContent>
    </w:r>
    <w:r>
      <w:rPr>
        <w:noProof/>
      </w:rPr>
      <w:drawing>
        <wp:anchor distT="0" distB="0" distL="114300" distR="114300" simplePos="0" relativeHeight="251659264" behindDoc="0" locked="0" layoutInCell="1" hidden="0" allowOverlap="1" wp14:anchorId="3F61B76B" wp14:editId="22C64715">
          <wp:simplePos x="0" y="0"/>
          <wp:positionH relativeFrom="column">
            <wp:posOffset>725170</wp:posOffset>
          </wp:positionH>
          <wp:positionV relativeFrom="paragraph">
            <wp:posOffset>877619</wp:posOffset>
          </wp:positionV>
          <wp:extent cx="5930900" cy="38100"/>
          <wp:effectExtent l="0" t="0" r="0" b="0"/>
          <wp:wrapNone/>
          <wp:docPr id="45" name="image1.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1.jpg" descr="C:\Users\Kasandra\AppData\Local\Microsoft\Windows\INetCache\Content.Word\Linie albastra-01.jpg"/>
                  <pic:cNvPicPr preferRelativeResize="0"/>
                </pic:nvPicPr>
                <pic:blipFill>
                  <a:blip r:embed="rId1"/>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2BA1C7D9" wp14:editId="787C93CA">
          <wp:simplePos x="0" y="0"/>
          <wp:positionH relativeFrom="column">
            <wp:posOffset>-668654</wp:posOffset>
          </wp:positionH>
          <wp:positionV relativeFrom="paragraph">
            <wp:posOffset>139700</wp:posOffset>
          </wp:positionV>
          <wp:extent cx="2476500" cy="852805"/>
          <wp:effectExtent l="0" t="0" r="0" b="0"/>
          <wp:wrapNone/>
          <wp:docPr id="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476500" cy="852805"/>
                  </a:xfrm>
                  <a:prstGeom prst="rect">
                    <a:avLst/>
                  </a:prstGeom>
                  <a:ln/>
                </pic:spPr>
              </pic:pic>
            </a:graphicData>
          </a:graphic>
        </wp:anchor>
      </w:drawing>
    </w:r>
  </w:p>
  <w:p w14:paraId="3D524D91" w14:textId="77777777" w:rsidR="003C7CC8" w:rsidRDefault="003C7C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A6A95" w14:textId="77777777" w:rsidR="003C7CC8" w:rsidRDefault="0000000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114300" distR="114300" simplePos="0" relativeHeight="251661312" behindDoc="0" locked="0" layoutInCell="1" hidden="0" allowOverlap="1" wp14:anchorId="3AE9307E" wp14:editId="1EF63428">
              <wp:simplePos x="0" y="0"/>
              <wp:positionH relativeFrom="column">
                <wp:posOffset>1812925</wp:posOffset>
              </wp:positionH>
              <wp:positionV relativeFrom="paragraph">
                <wp:posOffset>518796</wp:posOffset>
              </wp:positionV>
              <wp:extent cx="4770120" cy="394970"/>
              <wp:effectExtent l="0" t="0" r="0" b="0"/>
              <wp:wrapNone/>
              <wp:docPr id="44" name="Rectangle 44"/>
              <wp:cNvGraphicFramePr/>
              <a:graphic xmlns:a="http://schemas.openxmlformats.org/drawingml/2006/main">
                <a:graphicData uri="http://schemas.microsoft.com/office/word/2010/wordprocessingShape">
                  <wps:wsp>
                    <wps:cNvSpPr/>
                    <wps:spPr>
                      <a:xfrm>
                        <a:off x="2970465" y="3592040"/>
                        <a:ext cx="4751070" cy="375920"/>
                      </a:xfrm>
                      <a:prstGeom prst="rect">
                        <a:avLst/>
                      </a:prstGeom>
                      <a:solidFill>
                        <a:srgbClr val="FFFFFF"/>
                      </a:solidFill>
                      <a:ln>
                        <a:noFill/>
                      </a:ln>
                    </wps:spPr>
                    <wps:txbx>
                      <w:txbxContent>
                        <w:p w14:paraId="479440A7" w14:textId="77777777" w:rsidR="003C7CC8" w:rsidRDefault="00000000">
                          <w:pPr>
                            <w:jc w:val="right"/>
                            <w:textDirection w:val="btLr"/>
                          </w:pPr>
                          <w:r>
                            <w:rPr>
                              <w:rFonts w:ascii="Open Sans" w:eastAsia="Open Sans" w:hAnsi="Open Sans" w:cs="Open Sans"/>
                              <w:color w:val="548DD4"/>
                              <w:sz w:val="16"/>
                            </w:rPr>
                            <w:t>MINISTERUL EDUCAȚIEI NAȚIONALE</w:t>
                          </w:r>
                        </w:p>
                        <w:p w14:paraId="1D81259B" w14:textId="77777777" w:rsidR="003C7CC8" w:rsidRDefault="00000000">
                          <w:pPr>
                            <w:jc w:val="right"/>
                            <w:textDirection w:val="btLr"/>
                          </w:pPr>
                          <w:r>
                            <w:rPr>
                              <w:rFonts w:ascii="Calibri" w:eastAsia="Calibri" w:hAnsi="Calibri" w:cs="Calibri"/>
                              <w:color w:val="5A5A5A"/>
                              <w:sz w:val="22"/>
                            </w:rPr>
                            <w:t>UNIVERSITATEA DE VEST DIN TIMIȘOARA</w:t>
                          </w:r>
                        </w:p>
                        <w:p w14:paraId="7E8C641A" w14:textId="77777777" w:rsidR="003C7CC8" w:rsidRDefault="003C7CC8">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3AE9307E" id="Rectangle 44" o:spid="_x0000_s1028" style="position:absolute;margin-left:142.75pt;margin-top:40.85pt;width:375.6pt;height:31.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" stroked="f">
              <v:textbox inset="2.53958mm,1.2694mm,2.53958mm,1.2694mm">
                <w:txbxContent>
                  <w:p w14:paraId="479440A7" w14:textId="77777777" w:rsidR="003C7CC8" w:rsidRDefault="00000000">
                    <w:pPr>
                      <w:jc w:val="right"/>
                      <w:textDirection w:val="btLr"/>
                    </w:pPr>
                    <w:r>
                      <w:rPr>
                        <w:rFonts w:ascii="Open Sans" w:eastAsia="Open Sans" w:hAnsi="Open Sans" w:cs="Open Sans"/>
                        <w:color w:val="548DD4"/>
                        <w:sz w:val="16"/>
                      </w:rPr>
                      <w:t>MINISTERUL EDUCAȚIEI NAȚIONALE</w:t>
                    </w:r>
                  </w:p>
                  <w:p w14:paraId="1D81259B" w14:textId="77777777" w:rsidR="003C7CC8" w:rsidRDefault="00000000">
                    <w:pPr>
                      <w:jc w:val="right"/>
                      <w:textDirection w:val="btLr"/>
                    </w:pPr>
                    <w:r>
                      <w:rPr>
                        <w:rFonts w:ascii="Calibri" w:eastAsia="Calibri" w:hAnsi="Calibri" w:cs="Calibri"/>
                        <w:color w:val="5A5A5A"/>
                        <w:sz w:val="22"/>
                      </w:rPr>
                      <w:t>UNIVERSITATEA DE VEST DIN TIMIȘOARA</w:t>
                    </w:r>
                  </w:p>
                  <w:p w14:paraId="7E8C641A" w14:textId="77777777" w:rsidR="003C7CC8" w:rsidRDefault="003C7CC8">
                    <w:pPr>
                      <w:jc w:val="right"/>
                      <w:textDirection w:val="btLr"/>
                    </w:pPr>
                  </w:p>
                </w:txbxContent>
              </v:textbox>
            </v:rect>
          </w:pict>
        </mc:Fallback>
      </mc:AlternateContent>
    </w:r>
    <w:r>
      <w:rPr>
        <w:noProof/>
      </w:rPr>
      <w:drawing>
        <wp:anchor distT="0" distB="0" distL="114300" distR="114300" simplePos="0" relativeHeight="251662336" behindDoc="0" locked="0" layoutInCell="1" hidden="0" allowOverlap="1" wp14:anchorId="663BA8F6" wp14:editId="19CDDBAE">
          <wp:simplePos x="0" y="0"/>
          <wp:positionH relativeFrom="column">
            <wp:posOffset>723265</wp:posOffset>
          </wp:positionH>
          <wp:positionV relativeFrom="paragraph">
            <wp:posOffset>937894</wp:posOffset>
          </wp:positionV>
          <wp:extent cx="5930900" cy="38100"/>
          <wp:effectExtent l="0" t="0" r="0" b="0"/>
          <wp:wrapNone/>
          <wp:docPr id="46" name="image1.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1.jpg" descr="C:\Users\Kasandra\AppData\Local\Microsoft\Windows\INetCache\Content.Word\Linie albastra-01.jpg"/>
                  <pic:cNvPicPr preferRelativeResize="0"/>
                </pic:nvPicPr>
                <pic:blipFill>
                  <a:blip r:embed="rId1"/>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097174C9" wp14:editId="6099FCF0">
          <wp:simplePos x="0" y="0"/>
          <wp:positionH relativeFrom="column">
            <wp:posOffset>-467358</wp:posOffset>
          </wp:positionH>
          <wp:positionV relativeFrom="paragraph">
            <wp:posOffset>60325</wp:posOffset>
          </wp:positionV>
          <wp:extent cx="2476500" cy="852805"/>
          <wp:effectExtent l="0" t="0" r="0" b="0"/>
          <wp:wrapNone/>
          <wp:docPr id="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476500" cy="85280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7BDF"/>
    <w:multiLevelType w:val="multilevel"/>
    <w:tmpl w:val="D054DC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AF01D7"/>
    <w:multiLevelType w:val="multilevel"/>
    <w:tmpl w:val="714C1164"/>
    <w:lvl w:ilvl="0">
      <w:start w:val="5"/>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44CE5893"/>
    <w:multiLevelType w:val="multilevel"/>
    <w:tmpl w:val="A04ABB42"/>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75F62E46"/>
    <w:multiLevelType w:val="multilevel"/>
    <w:tmpl w:val="9B70A54C"/>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797377719">
    <w:abstractNumId w:val="3"/>
  </w:num>
  <w:num w:numId="2" w16cid:durableId="1622614466">
    <w:abstractNumId w:val="1"/>
  </w:num>
  <w:num w:numId="3" w16cid:durableId="467862735">
    <w:abstractNumId w:val="0"/>
  </w:num>
  <w:num w:numId="4" w16cid:durableId="6950811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CC8"/>
    <w:rsid w:val="000F3B5C"/>
    <w:rsid w:val="002966F7"/>
    <w:rsid w:val="003C7CC8"/>
    <w:rsid w:val="009C5ED4"/>
    <w:rsid w:val="00AE5848"/>
    <w:rsid w:val="00B749D1"/>
    <w:rsid w:val="00F77D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1AF09B"/>
  <w15:docId w15:val="{039165AB-8F3E-40E4-9004-751442888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link w:val="Heading2Char"/>
    <w:uiPriority w:val="9"/>
    <w:semiHidden/>
    <w:unhideWhenUsed/>
    <w:qFormat/>
    <w:pPr>
      <w:keepNext/>
      <w:spacing w:before="240" w:after="60"/>
      <w:outlineLvl w:val="1"/>
    </w:pPr>
    <w:rPr>
      <w:rFonts w:ascii="Arial" w:eastAsia="Arial" w:hAnsi="Arial" w:cs="Arial"/>
      <w:b/>
      <w:bCs/>
      <w:i/>
      <w:iCs/>
      <w:sz w:val="28"/>
      <w:szCs w:val="28"/>
    </w:rPr>
  </w:style>
  <w:style w:type="paragraph" w:styleId="Heading3">
    <w:name w:val="heading 3"/>
    <w:basedOn w:val="Normal"/>
    <w:next w:val="Normal"/>
    <w:link w:val="Heading3Char"/>
    <w:uiPriority w:val="9"/>
    <w:semiHidden/>
    <w:unhideWhenUsed/>
    <w:qFormat/>
    <w:pPr>
      <w:outlineLvl w:val="2"/>
    </w:pPr>
    <w:rPr>
      <w:rFonts w:ascii="Tahoma" w:eastAsia="Tahoma" w:hAnsi="Tahoma" w:cs="Tahoma"/>
      <w:b/>
      <w:bCs/>
      <w:color w:val="FFFFFF"/>
      <w:sz w:val="18"/>
      <w:szCs w:val="18"/>
    </w:rPr>
  </w:style>
  <w:style w:type="paragraph" w:styleId="Heading4">
    <w:name w:val="heading 4"/>
    <w:basedOn w:val="Normal"/>
    <w:next w:val="Normal"/>
    <w:link w:val="Heading4Char"/>
    <w:uiPriority w:val="9"/>
    <w:semiHidden/>
    <w:unhideWhenUsed/>
    <w:qFormat/>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pPr>
      <w:keepNext/>
      <w:keepLines/>
      <w:spacing w:line="360" w:lineRule="auto"/>
      <w:outlineLvl w:val="5"/>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Arial" w:eastAsia="Arial" w:hAnsi="Arial" w:cs="Arial"/>
      <w:b/>
      <w:bCs/>
      <w:sz w:val="22"/>
      <w:szCs w:val="2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locked/>
    <w:rsid w:val="00C81D57"/>
    <w:rPr>
      <w:rFonts w:ascii="Cambria" w:hAnsi="Cambria" w:cs="Cambria"/>
      <w:b/>
      <w:bCs/>
      <w:kern w:val="32"/>
      <w:sz w:val="32"/>
      <w:szCs w:val="32"/>
      <w:lang w:val="ro-RO" w:eastAsia="ro-RO"/>
    </w:rPr>
  </w:style>
  <w:style w:type="character" w:customStyle="1" w:styleId="Heading2Char">
    <w:name w:val="Heading 2 Char"/>
    <w:basedOn w:val="DefaultParagraphFont"/>
    <w:link w:val="Heading2"/>
    <w:uiPriority w:val="99"/>
    <w:locked/>
    <w:rsid w:val="00C81D57"/>
    <w:rPr>
      <w:rFonts w:ascii="Arial" w:hAnsi="Arial" w:cs="Arial"/>
      <w:b/>
      <w:bCs/>
      <w:i/>
      <w:iCs/>
      <w:sz w:val="28"/>
      <w:szCs w:val="28"/>
      <w:lang w:val="ro-RO" w:eastAsia="ro-RO"/>
    </w:rPr>
  </w:style>
  <w:style w:type="character" w:customStyle="1" w:styleId="Heading3Char">
    <w:name w:val="Heading 3 Char"/>
    <w:basedOn w:val="DefaultParagraphFont"/>
    <w:link w:val="Heading3"/>
    <w:uiPriority w:val="99"/>
    <w:locked/>
    <w:rsid w:val="00C81D57"/>
    <w:rPr>
      <w:rFonts w:ascii="Tahoma" w:hAnsi="Tahoma" w:cs="Tahoma"/>
      <w:b/>
      <w:bCs/>
      <w:color w:val="FFFFFF"/>
      <w:sz w:val="18"/>
      <w:szCs w:val="18"/>
    </w:rPr>
  </w:style>
  <w:style w:type="character" w:customStyle="1" w:styleId="Heading4Char">
    <w:name w:val="Heading 4 Char"/>
    <w:basedOn w:val="DefaultParagraphFont"/>
    <w:link w:val="Heading4"/>
    <w:uiPriority w:val="99"/>
    <w:locked/>
    <w:rsid w:val="0068330D"/>
    <w:rPr>
      <w:rFonts w:ascii="Calibri" w:hAnsi="Calibri" w:cs="Calibri"/>
      <w:b/>
      <w:bCs/>
      <w:sz w:val="28"/>
      <w:szCs w:val="28"/>
      <w:lang w:val="ro-RO" w:eastAsia="ro-RO"/>
    </w:rPr>
  </w:style>
  <w:style w:type="character" w:customStyle="1" w:styleId="Heading5Char">
    <w:name w:val="Heading 5 Char"/>
    <w:basedOn w:val="DefaultParagraphFont"/>
    <w:link w:val="Heading5"/>
    <w:uiPriority w:val="99"/>
    <w:locked/>
    <w:rsid w:val="0068330D"/>
    <w:rPr>
      <w:rFonts w:ascii="Calibri" w:hAnsi="Calibri" w:cs="Calibri"/>
      <w:b/>
      <w:bCs/>
      <w:i/>
      <w:iCs/>
      <w:sz w:val="26"/>
      <w:szCs w:val="26"/>
      <w:lang w:val="ro-RO" w:eastAsia="ro-RO"/>
    </w:rPr>
  </w:style>
  <w:style w:type="paragraph" w:styleId="Header">
    <w:name w:val="header"/>
    <w:basedOn w:val="Normal"/>
    <w:link w:val="HeaderChar"/>
    <w:uiPriority w:val="99"/>
    <w:rsid w:val="00C81D57"/>
    <w:pPr>
      <w:tabs>
        <w:tab w:val="center" w:pos="4536"/>
        <w:tab w:val="right" w:pos="9072"/>
      </w:tabs>
    </w:pPr>
  </w:style>
  <w:style w:type="character" w:customStyle="1" w:styleId="HeaderChar">
    <w:name w:val="Header Char"/>
    <w:basedOn w:val="DefaultParagraphFont"/>
    <w:link w:val="Header"/>
    <w:uiPriority w:val="99"/>
    <w:locked/>
    <w:rsid w:val="00C81D57"/>
    <w:rPr>
      <w:rFonts w:ascii="Times New Roman" w:hAnsi="Times New Roman" w:cs="Times New Roman"/>
      <w:sz w:val="24"/>
      <w:szCs w:val="24"/>
      <w:lang w:val="ro-RO" w:eastAsia="ro-RO"/>
    </w:rPr>
  </w:style>
  <w:style w:type="paragraph" w:styleId="Footer">
    <w:name w:val="footer"/>
    <w:basedOn w:val="Normal"/>
    <w:link w:val="FooterChar"/>
    <w:uiPriority w:val="99"/>
    <w:rsid w:val="00C81D57"/>
    <w:pPr>
      <w:tabs>
        <w:tab w:val="center" w:pos="4536"/>
        <w:tab w:val="right" w:pos="9072"/>
      </w:tabs>
    </w:pPr>
  </w:style>
  <w:style w:type="character" w:customStyle="1" w:styleId="FooterChar">
    <w:name w:val="Footer Char"/>
    <w:basedOn w:val="DefaultParagraphFont"/>
    <w:link w:val="Footer"/>
    <w:uiPriority w:val="99"/>
    <w:locked/>
    <w:rsid w:val="00C81D57"/>
    <w:rPr>
      <w:rFonts w:ascii="Times New Roman" w:hAnsi="Times New Roman" w:cs="Times New Roman"/>
      <w:sz w:val="24"/>
      <w:szCs w:val="24"/>
      <w:lang w:val="ro-RO" w:eastAsia="ro-RO"/>
    </w:rPr>
  </w:style>
  <w:style w:type="paragraph" w:styleId="BalloonText">
    <w:name w:val="Balloon Text"/>
    <w:basedOn w:val="Normal"/>
    <w:link w:val="BalloonTextChar"/>
    <w:uiPriority w:val="99"/>
    <w:semiHidden/>
    <w:rsid w:val="00C81D5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81D57"/>
    <w:rPr>
      <w:rFonts w:ascii="Tahoma" w:hAnsi="Tahoma" w:cs="Tahoma"/>
      <w:sz w:val="16"/>
      <w:szCs w:val="16"/>
      <w:lang w:val="ro-RO" w:eastAsia="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rsid w:val="00C81D57"/>
    <w:rPr>
      <w:b/>
      <w:bCs/>
    </w:rPr>
  </w:style>
  <w:style w:type="character" w:customStyle="1" w:styleId="autor">
    <w:name w:val="autor"/>
    <w:basedOn w:val="DefaultParagraphFont"/>
    <w:uiPriority w:val="99"/>
    <w:rsid w:val="00C81D57"/>
  </w:style>
  <w:style w:type="character" w:styleId="Emphasis">
    <w:name w:val="Emphasis"/>
    <w:basedOn w:val="DefaultParagraphFont"/>
    <w:uiPriority w:val="20"/>
    <w:qFormat/>
    <w:rsid w:val="00C81D57"/>
    <w:rPr>
      <w:i/>
      <w:iCs/>
    </w:rPr>
  </w:style>
  <w:style w:type="table" w:styleId="TableGrid">
    <w:name w:val="Table Grid"/>
    <w:basedOn w:val="TableNormal"/>
    <w:uiPriority w:val="39"/>
    <w:rsid w:val="00927661"/>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before="100" w:beforeAutospacing="1" w:after="100" w:afterAutospacing="1"/>
    </w:pPr>
    <w:rPr>
      <w:rFonts w:eastAsia="Calibri"/>
      <w:lang w:val="en-US"/>
    </w:rPr>
  </w:style>
  <w:style w:type="character" w:customStyle="1" w:styleId="articol">
    <w:name w:val="articol"/>
    <w:basedOn w:val="DefaultParagraphFont"/>
    <w:uiPriority w:val="99"/>
    <w:rsid w:val="00DF6E13"/>
  </w:style>
  <w:style w:type="character" w:customStyle="1" w:styleId="alineat">
    <w:name w:val="alineat"/>
    <w:basedOn w:val="DefaultParagraphFont"/>
    <w:uiPriority w:val="99"/>
    <w:rsid w:val="00DF6E13"/>
  </w:style>
  <w:style w:type="character" w:customStyle="1" w:styleId="litera">
    <w:name w:val="litera"/>
    <w:basedOn w:val="DefaultParagraphFont"/>
    <w:uiPriority w:val="99"/>
    <w:rsid w:val="00DF6E13"/>
  </w:style>
  <w:style w:type="character" w:customStyle="1" w:styleId="preambul">
    <w:name w:val="preambul"/>
    <w:basedOn w:val="DefaultParagraphFont"/>
    <w:uiPriority w:val="99"/>
    <w:rsid w:val="00DF6E13"/>
  </w:style>
  <w:style w:type="character" w:customStyle="1" w:styleId="punct">
    <w:name w:val="punct"/>
    <w:basedOn w:val="DefaultParagraphFont"/>
    <w:uiPriority w:val="99"/>
    <w:rsid w:val="00DF6E13"/>
  </w:style>
  <w:style w:type="character" w:customStyle="1" w:styleId="paragraf">
    <w:name w:val="paragraf"/>
    <w:basedOn w:val="DefaultParagraphFont"/>
    <w:uiPriority w:val="99"/>
    <w:rsid w:val="00DF6E13"/>
  </w:style>
  <w:style w:type="character" w:customStyle="1" w:styleId="searchidx2">
    <w:name w:val="search_idx_2"/>
    <w:basedOn w:val="DefaultParagraphFont"/>
    <w:uiPriority w:val="99"/>
    <w:rsid w:val="00DF6E13"/>
  </w:style>
  <w:style w:type="character" w:customStyle="1" w:styleId="searchidx0">
    <w:name w:val="search_idx_0"/>
    <w:basedOn w:val="DefaultParagraphFont"/>
    <w:uiPriority w:val="99"/>
    <w:rsid w:val="00DF6E13"/>
  </w:style>
  <w:style w:type="character" w:customStyle="1" w:styleId="searchidx1">
    <w:name w:val="search_idx_1"/>
    <w:basedOn w:val="DefaultParagraphFont"/>
    <w:uiPriority w:val="99"/>
    <w:rsid w:val="00DF6E13"/>
  </w:style>
  <w:style w:type="character" w:customStyle="1" w:styleId="tabel">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rPr>
  </w:style>
  <w:style w:type="character" w:customStyle="1" w:styleId="HTMLPreformattedChar">
    <w:name w:val="HTML Preformatted Char"/>
    <w:basedOn w:val="DefaultParagraphFont"/>
    <w:link w:val="HTMLPreformatted"/>
    <w:uiPriority w:val="99"/>
    <w:locked/>
    <w:rsid w:val="00650125"/>
    <w:rPr>
      <w:rFonts w:ascii="Courier New" w:hAnsi="Courier New" w:cs="Courier New"/>
      <w:sz w:val="20"/>
      <w:szCs w:val="20"/>
      <w:lang w:val="ro-RO" w:eastAsia="ro-RO"/>
    </w:rPr>
  </w:style>
  <w:style w:type="paragraph" w:styleId="ListParagraph">
    <w:name w:val="List Paragraph"/>
    <w:basedOn w:val="Normal"/>
    <w:link w:val="ListParagraphChar"/>
    <w:qFormat/>
    <w:rsid w:val="000C2457"/>
    <w:pPr>
      <w:ind w:left="720"/>
      <w:contextualSpacing/>
    </w:pPr>
  </w:style>
  <w:style w:type="character" w:customStyle="1" w:styleId="SubtitleChar">
    <w:name w:val="Subtitle Char"/>
    <w:basedOn w:val="DefaultParagraphFont"/>
    <w:link w:val="Subtitle"/>
    <w:rsid w:val="009B3389"/>
    <w:rPr>
      <w:rFonts w:asciiTheme="minorHAnsi" w:eastAsiaTheme="minorEastAsia" w:hAnsiTheme="minorHAnsi" w:cstheme="minorBidi"/>
      <w:color w:val="5A5A5A" w:themeColor="text1" w:themeTint="A5"/>
      <w:spacing w:val="15"/>
      <w:lang w:val="ro-RO" w:eastAsia="ro-RO"/>
    </w:rPr>
  </w:style>
  <w:style w:type="character" w:customStyle="1" w:styleId="Heading6Char">
    <w:name w:val="Heading 6 Char"/>
    <w:basedOn w:val="DefaultParagraphFont"/>
    <w:link w:val="Heading6"/>
    <w:uiPriority w:val="9"/>
    <w:rsid w:val="000458CE"/>
    <w:rPr>
      <w:rFonts w:asciiTheme="majorHAnsi" w:eastAsiaTheme="majorEastAsia" w:hAnsiTheme="majorHAnsi"/>
      <w:b/>
      <w:sz w:val="24"/>
      <w:szCs w:val="20"/>
      <w:lang w:val="ro-RO" w:eastAsia="ro-RO"/>
    </w:rPr>
  </w:style>
  <w:style w:type="paragraph" w:styleId="FootnoteText">
    <w:name w:val="footnote text"/>
    <w:basedOn w:val="Normal"/>
    <w:link w:val="FootnoteTextChar"/>
    <w:uiPriority w:val="99"/>
    <w:semiHidden/>
    <w:unhideWhenUsed/>
    <w:rsid w:val="000458CE"/>
    <w:rPr>
      <w:rFonts w:asciiTheme="minorHAnsi" w:hAnsiTheme="minorHAnsi"/>
      <w:sz w:val="20"/>
      <w:szCs w:val="20"/>
    </w:rPr>
  </w:style>
  <w:style w:type="character" w:customStyle="1" w:styleId="FootnoteTextChar">
    <w:name w:val="Footnote Text Char"/>
    <w:basedOn w:val="DefaultParagraphFont"/>
    <w:link w:val="FootnoteText"/>
    <w:uiPriority w:val="99"/>
    <w:semiHidden/>
    <w:rsid w:val="000458CE"/>
    <w:rPr>
      <w:rFonts w:asciiTheme="minorHAnsi" w:eastAsia="Times New Roman" w:hAnsiTheme="minorHAnsi"/>
      <w:sz w:val="20"/>
      <w:szCs w:val="20"/>
      <w:lang w:val="ro-RO"/>
    </w:rPr>
  </w:style>
  <w:style w:type="character" w:styleId="FootnoteReference">
    <w:name w:val="footnote reference"/>
    <w:basedOn w:val="DefaultParagraphFont"/>
    <w:uiPriority w:val="99"/>
    <w:semiHidden/>
    <w:unhideWhenUsed/>
    <w:rsid w:val="000458CE"/>
    <w:rPr>
      <w:rFonts w:cs="Times New Roman"/>
      <w:vertAlign w:val="superscript"/>
    </w:rPr>
  </w:style>
  <w:style w:type="table" w:customStyle="1" w:styleId="TableGrid1">
    <w:name w:val="Table Grid1"/>
    <w:basedOn w:val="TableNormal"/>
    <w:next w:val="TableGrid"/>
    <w:uiPriority w:val="59"/>
    <w:rsid w:val="000458CE"/>
    <w:rPr>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rey">
    <w:name w:val="grey"/>
    <w:basedOn w:val="DefaultParagraphFont"/>
    <w:rsid w:val="000458CE"/>
    <w:rPr>
      <w:rFonts w:cs="Times New Roman"/>
    </w:rPr>
  </w:style>
  <w:style w:type="character" w:customStyle="1" w:styleId="titlu">
    <w:name w:val="titlu"/>
    <w:basedOn w:val="DefaultParagraphFont"/>
    <w:rsid w:val="000458CE"/>
    <w:rPr>
      <w:rFonts w:cs="Times New Roman"/>
    </w:rPr>
  </w:style>
  <w:style w:type="character" w:customStyle="1" w:styleId="lead">
    <w:name w:val="lead"/>
    <w:basedOn w:val="DefaultParagraphFont"/>
    <w:rsid w:val="000458CE"/>
    <w:rPr>
      <w:rFonts w:cs="Times New Roman"/>
    </w:rPr>
  </w:style>
  <w:style w:type="paragraph" w:styleId="NoSpacing">
    <w:name w:val="No Spacing"/>
    <w:uiPriority w:val="1"/>
    <w:qFormat/>
    <w:rsid w:val="000458CE"/>
  </w:style>
  <w:style w:type="paragraph" w:customStyle="1" w:styleId="Default">
    <w:name w:val="Default"/>
    <w:rsid w:val="000458CE"/>
    <w:pPr>
      <w:autoSpaceDE w:val="0"/>
      <w:autoSpaceDN w:val="0"/>
      <w:adjustRightInd w:val="0"/>
    </w:pPr>
    <w:rPr>
      <w:rFonts w:cs="Calibri"/>
      <w:color w:val="000000"/>
    </w:rPr>
  </w:style>
  <w:style w:type="character" w:customStyle="1" w:styleId="articlecontent">
    <w:name w:val="article_content"/>
    <w:basedOn w:val="DefaultParagraphFont"/>
    <w:rsid w:val="000458CE"/>
    <w:rPr>
      <w:rFonts w:cs="Times New Roman"/>
    </w:rPr>
  </w:style>
  <w:style w:type="character" w:customStyle="1" w:styleId="TitleChar">
    <w:name w:val="Title Char"/>
    <w:basedOn w:val="DefaultParagraphFont"/>
    <w:link w:val="Title"/>
    <w:uiPriority w:val="10"/>
    <w:rsid w:val="000458CE"/>
    <w:rPr>
      <w:rFonts w:ascii="Arial" w:eastAsiaTheme="majorEastAsia" w:hAnsi="Arial"/>
      <w:b/>
      <w:spacing w:val="-10"/>
      <w:kern w:val="28"/>
      <w:szCs w:val="56"/>
      <w:lang w:val="ro-RO" w:eastAsia="ro-RO"/>
    </w:rPr>
  </w:style>
  <w:style w:type="paragraph" w:styleId="TOCHeading">
    <w:name w:val="TOC Heading"/>
    <w:basedOn w:val="Heading1"/>
    <w:next w:val="Normal"/>
    <w:uiPriority w:val="39"/>
    <w:unhideWhenUsed/>
    <w:qFormat/>
    <w:rsid w:val="000458CE"/>
    <w:pPr>
      <w:keepLines/>
      <w:spacing w:after="0" w:line="259" w:lineRule="auto"/>
      <w:jc w:val="center"/>
      <w:outlineLvl w:val="9"/>
    </w:pPr>
    <w:rPr>
      <w:rFonts w:asciiTheme="majorHAnsi" w:eastAsiaTheme="majorEastAsia" w:hAnsiTheme="majorHAnsi" w:cs="Times New Roman"/>
      <w:b w:val="0"/>
      <w:color w:val="365F91" w:themeColor="accent1" w:themeShade="BF"/>
      <w:lang w:val="en-US"/>
    </w:rPr>
  </w:style>
  <w:style w:type="paragraph" w:styleId="TOC1">
    <w:name w:val="toc 1"/>
    <w:basedOn w:val="Normal"/>
    <w:next w:val="Normal"/>
    <w:autoRedefine/>
    <w:uiPriority w:val="39"/>
    <w:unhideWhenUsed/>
    <w:locked/>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uiPriority w:val="39"/>
    <w:unhideWhenUsed/>
    <w:locked/>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uiPriority w:val="39"/>
    <w:unhideWhenUsed/>
    <w:locked/>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uiPriority w:val="39"/>
    <w:unhideWhenUsed/>
    <w:locked/>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uiPriority w:val="39"/>
    <w:unhideWhenUsed/>
    <w:locked/>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uiPriority w:val="39"/>
    <w:unhideWhenUsed/>
    <w:locked/>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unhideWhenUsed/>
    <w:rsid w:val="000458CE"/>
    <w:pPr>
      <w:overflowPunct w:val="0"/>
      <w:autoSpaceDE w:val="0"/>
      <w:autoSpaceDN w:val="0"/>
      <w:adjustRightInd w:val="0"/>
      <w:textAlignment w:val="baseline"/>
    </w:pPr>
    <w:rPr>
      <w:sz w:val="20"/>
      <w:szCs w:val="20"/>
    </w:rPr>
  </w:style>
  <w:style w:type="character" w:customStyle="1" w:styleId="CommentTextChar">
    <w:name w:val="Comment Text Char"/>
    <w:basedOn w:val="DefaultParagraphFont"/>
    <w:link w:val="CommentText"/>
    <w:uiPriority w:val="99"/>
    <w:semiHidden/>
    <w:rsid w:val="000458CE"/>
    <w:rPr>
      <w:rFonts w:ascii="Times New Roman" w:eastAsia="Times New Roman" w:hAnsi="Times New Roman"/>
      <w:sz w:val="20"/>
      <w:szCs w:val="20"/>
      <w:lang w:val="ro-RO" w:eastAsia="ro-RO"/>
    </w:rPr>
  </w:style>
  <w:style w:type="character" w:customStyle="1" w:styleId="CommentSubjectChar">
    <w:name w:val="Comment Subject Char"/>
    <w:basedOn w:val="CommentTextChar"/>
    <w:link w:val="CommentSubject"/>
    <w:uiPriority w:val="99"/>
    <w:semiHidden/>
    <w:locked/>
    <w:rsid w:val="000458CE"/>
    <w:rPr>
      <w:rFonts w:ascii="Times New Roman" w:eastAsia="Times New Roman" w:hAnsi="Times New Roman"/>
      <w:b/>
      <w:bCs/>
      <w:sz w:val="20"/>
      <w:szCs w:val="20"/>
      <w:lang w:val="ro-RO" w:eastAsia="ro-RO"/>
    </w:rPr>
  </w:style>
  <w:style w:type="paragraph" w:styleId="CommentSubject">
    <w:name w:val="annotation subject"/>
    <w:basedOn w:val="CommentText"/>
    <w:next w:val="CommentText"/>
    <w:link w:val="CommentSubjectChar"/>
    <w:uiPriority w:val="99"/>
    <w:semiHidden/>
    <w:unhideWhenUsed/>
    <w:rsid w:val="000458CE"/>
    <w:rPr>
      <w:b/>
      <w:bCs/>
    </w:rPr>
  </w:style>
  <w:style w:type="character" w:customStyle="1" w:styleId="CommentSubjectChar1">
    <w:name w:val="Comment Subject Char1"/>
    <w:basedOn w:val="CommentTextChar"/>
    <w:uiPriority w:val="99"/>
    <w:semiHidden/>
    <w:rsid w:val="000458CE"/>
    <w:rPr>
      <w:rFonts w:ascii="Times New Roman" w:eastAsia="Times New Roman" w:hAnsi="Times New Roman"/>
      <w:b/>
      <w:bCs/>
      <w:sz w:val="20"/>
      <w:szCs w:val="20"/>
      <w:lang w:val="ro-RO" w:eastAsia="ro-RO"/>
    </w:rPr>
  </w:style>
  <w:style w:type="character" w:customStyle="1" w:styleId="CommentSubjectChar11">
    <w:name w:val="Comment Subject Char11"/>
    <w:basedOn w:val="CommentTextChar"/>
    <w:uiPriority w:val="99"/>
    <w:semiHidden/>
    <w:rsid w:val="000458CE"/>
    <w:rPr>
      <w:rFonts w:ascii="Times New Roman" w:eastAsia="Times New Roman" w:hAnsi="Times New Roman" w:cs="Times New Roman"/>
      <w:b/>
      <w:bCs/>
      <w:sz w:val="20"/>
      <w:szCs w:val="20"/>
      <w:lang w:val="ro-RO" w:eastAsia="ro-RO"/>
    </w:rPr>
  </w:style>
  <w:style w:type="table" w:customStyle="1" w:styleId="GridTable1Light-Accent11">
    <w:name w:val="Grid Table 1 Light - Accent 11"/>
    <w:basedOn w:val="TableNormal"/>
    <w:uiPriority w:val="46"/>
    <w:rsid w:val="000458CE"/>
    <w:rPr>
      <w:rFonts w:asciiTheme="minorHAnsi" w:hAnsiTheme="minorHAnsi"/>
      <w:lang w:val="ro-R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rFonts w:cs="Times New Roman"/>
        <w:b/>
        <w:bCs/>
      </w:rPr>
      <w:tblPr/>
      <w:tcPr>
        <w:tcBorders>
          <w:bottom w:val="single" w:sz="12" w:space="0" w:color="95B3D7" w:themeColor="accent1" w:themeTint="99"/>
        </w:tcBorders>
      </w:tcPr>
    </w:tblStylePr>
    <w:tblStylePr w:type="lastRow">
      <w:rPr>
        <w:rFonts w:cs="Times New Roman"/>
        <w:b/>
        <w:bCs/>
      </w:rPr>
      <w:tblPr/>
      <w:tcPr>
        <w:tcBorders>
          <w:top w:val="double" w:sz="2" w:space="0" w:color="95B3D7" w:themeColor="accent1" w:themeTint="99"/>
        </w:tcBorders>
      </w:tcPr>
    </w:tblStylePr>
    <w:tblStylePr w:type="firstCol">
      <w:rPr>
        <w:rFonts w:cs="Times New Roman"/>
        <w:b/>
        <w:bCs/>
      </w:rPr>
    </w:tblStylePr>
    <w:tblStylePr w:type="lastCol">
      <w:rPr>
        <w:rFonts w:cs="Times New Roman"/>
        <w:b/>
        <w:bCs/>
      </w:rPr>
    </w:tblStylePr>
  </w:style>
  <w:style w:type="character" w:styleId="UnresolvedMention">
    <w:name w:val="Unresolved Mention"/>
    <w:basedOn w:val="DefaultParagraphFont"/>
    <w:uiPriority w:val="99"/>
    <w:semiHidden/>
    <w:unhideWhenUsed/>
    <w:rsid w:val="000458CE"/>
    <w:rPr>
      <w:rFonts w:cs="Times New Roman"/>
      <w:color w:val="605E5C"/>
      <w:shd w:val="clear" w:color="auto" w:fill="E1DFDD"/>
    </w:rPr>
  </w:style>
  <w:style w:type="paragraph" w:customStyle="1" w:styleId="Tabel0">
    <w:name w:val="Tabel"/>
    <w:basedOn w:val="Normal"/>
    <w:qFormat/>
    <w:rsid w:val="000458CE"/>
    <w:pPr>
      <w:autoSpaceDE w:val="0"/>
      <w:autoSpaceDN w:val="0"/>
      <w:adjustRightInd w:val="0"/>
      <w:spacing w:after="120" w:line="276" w:lineRule="auto"/>
      <w:jc w:val="center"/>
    </w:pPr>
    <w:rPr>
      <w:rFonts w:ascii="Calibri" w:hAnsi="Calibri" w:cs="Calibri"/>
      <w:bCs/>
      <w:noProof/>
      <w:color w:val="548DD4" w:themeColor="text2" w:themeTint="99"/>
      <w:sz w:val="20"/>
      <w:szCs w:val="18"/>
    </w:rPr>
  </w:style>
  <w:style w:type="paragraph" w:customStyle="1" w:styleId="Raport-body-6after">
    <w:name w:val="Raport-body-6after"/>
    <w:basedOn w:val="Normal"/>
    <w:qFormat/>
    <w:rsid w:val="000458CE"/>
    <w:pPr>
      <w:autoSpaceDE w:val="0"/>
      <w:autoSpaceDN w:val="0"/>
      <w:adjustRightInd w:val="0"/>
      <w:spacing w:before="120" w:after="120" w:line="288" w:lineRule="auto"/>
      <w:ind w:firstLine="720"/>
      <w:jc w:val="both"/>
    </w:pPr>
    <w:rPr>
      <w:rFonts w:ascii="Myriad Pro" w:hAnsi="Myriad Pro" w:cs="Calibri Light"/>
      <w:noProof/>
      <w:color w:val="3B4F63"/>
      <w:w w:val="90"/>
      <w:sz w:val="20"/>
      <w:szCs w:val="20"/>
    </w:rPr>
  </w:style>
  <w:style w:type="paragraph" w:customStyle="1" w:styleId="Figuri">
    <w:name w:val="Figuri"/>
    <w:basedOn w:val="Normal"/>
    <w:qFormat/>
    <w:rsid w:val="000458CE"/>
    <w:pPr>
      <w:spacing w:after="120" w:line="276" w:lineRule="auto"/>
      <w:jc w:val="center"/>
    </w:pPr>
    <w:rPr>
      <w:rFonts w:ascii="Calibri" w:hAnsi="Calibri" w:cs="Calibri"/>
      <w:i/>
      <w:color w:val="548DD4" w:themeColor="text2" w:themeTint="99"/>
      <w:sz w:val="20"/>
      <w:szCs w:val="16"/>
    </w:rPr>
  </w:style>
  <w:style w:type="paragraph" w:customStyle="1" w:styleId="Raport-body">
    <w:name w:val="Raport-body"/>
    <w:basedOn w:val="Normal"/>
    <w:qFormat/>
    <w:rsid w:val="000458CE"/>
    <w:pPr>
      <w:autoSpaceDE w:val="0"/>
      <w:autoSpaceDN w:val="0"/>
      <w:adjustRightInd w:val="0"/>
      <w:spacing w:before="120" w:line="288" w:lineRule="auto"/>
      <w:ind w:firstLine="720"/>
      <w:jc w:val="both"/>
    </w:pPr>
    <w:rPr>
      <w:rFonts w:ascii="Myriad Pro" w:hAnsi="Myriad Pro" w:cs="Calibri Light"/>
      <w:noProof/>
      <w:color w:val="3B4F63"/>
      <w:w w:val="90"/>
      <w:sz w:val="20"/>
      <w:szCs w:val="20"/>
    </w:rPr>
  </w:style>
  <w:style w:type="character" w:customStyle="1" w:styleId="apple-converted-space">
    <w:name w:val="apple-converted-space"/>
    <w:basedOn w:val="DefaultParagraphFont"/>
    <w:rsid w:val="000458CE"/>
    <w:rPr>
      <w:rFonts w:cs="Times New Roman"/>
    </w:rPr>
  </w:style>
  <w:style w:type="paragraph" w:customStyle="1" w:styleId="BodyA">
    <w:name w:val="Body A"/>
    <w:rsid w:val="005C3E29"/>
    <w:pPr>
      <w:pBdr>
        <w:top w:val="nil"/>
        <w:left w:val="nil"/>
        <w:bottom w:val="nil"/>
        <w:right w:val="nil"/>
        <w:between w:val="nil"/>
        <w:bar w:val="nil"/>
      </w:pBdr>
    </w:pPr>
    <w:rPr>
      <w:rFonts w:ascii="Helvetica Neue" w:eastAsia="Arial Unicode MS" w:hAnsi="Helvetica Neue" w:cs="Arial Unicode MS"/>
      <w:color w:val="000000"/>
      <w:u w:color="000000"/>
      <w:bdr w:val="nil"/>
      <w:lang w:eastAsia="en-GB"/>
    </w:rPr>
  </w:style>
  <w:style w:type="character" w:customStyle="1" w:styleId="ListParagraphChar">
    <w:name w:val="List Paragraph Char"/>
    <w:link w:val="ListParagraph"/>
    <w:uiPriority w:val="1"/>
    <w:locked/>
    <w:rsid w:val="00207413"/>
    <w:rPr>
      <w:rFonts w:ascii="Times New Roman" w:eastAsia="Times New Roman" w:hAnsi="Times New Roman"/>
      <w:sz w:val="24"/>
      <w:szCs w:val="24"/>
      <w:lang w:val="ro-RO" w:eastAsia="ro-RO"/>
    </w:rPr>
  </w:style>
  <w:style w:type="table" w:customStyle="1" w:styleId="TableNormal10">
    <w:name w:val="Table Normal1"/>
    <w:uiPriority w:val="2"/>
    <w:semiHidden/>
    <w:unhideWhenUsed/>
    <w:qFormat/>
    <w:rsid w:val="00207413"/>
    <w:pPr>
      <w:widowControl w:val="0"/>
      <w:autoSpaceDE w:val="0"/>
      <w:autoSpaceDN w:val="0"/>
    </w:pPr>
    <w:rPr>
      <w:rFonts w:asciiTheme="minorHAnsi" w:eastAsiaTheme="minorHAnsi" w:hAnsiTheme="minorHAnsi" w:cstheme="minorBidi"/>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07413"/>
    <w:pPr>
      <w:widowControl w:val="0"/>
      <w:autoSpaceDE w:val="0"/>
      <w:autoSpaceDN w:val="0"/>
      <w:ind w:left="110"/>
    </w:pPr>
    <w:rPr>
      <w:sz w:val="22"/>
      <w:szCs w:val="22"/>
      <w:lang w:val="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widowControl w:val="0"/>
    </w:pPr>
    <w:rPr>
      <w:rFonts w:ascii="Calibri" w:eastAsia="Calibri" w:hAnsi="Calibri" w:cs="Calibri"/>
    </w:rPr>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character" w:styleId="FollowedHyperlink">
    <w:name w:val="FollowedHyperlink"/>
    <w:basedOn w:val="DefaultParagraphFont"/>
    <w:uiPriority w:val="99"/>
    <w:semiHidden/>
    <w:unhideWhenUsed/>
    <w:rsid w:val="00B55636"/>
    <w:rPr>
      <w:color w:val="800080" w:themeColor="followedHyperlink"/>
      <w:u w:val="single"/>
    </w:r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widowControl w:val="0"/>
    </w:pPr>
    <w:rPr>
      <w:rFonts w:ascii="Calibri" w:eastAsia="Calibri" w:hAnsi="Calibri" w:cs="Calibri"/>
    </w:rPr>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1647/OBP.0333"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oi.org/10.11647/OBP.0333" TargetMode="Externa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3Ooydejaq2QOGap0SsvM1eW3g==">CgMxLjA4AHIhMVpPYzFaeXJWQ2VvS3AyZXhBUkpxWi1sU0stcUg2NTR2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Pages>
  <Words>2397</Words>
  <Characters>13663</Characters>
  <Application>Microsoft Office Word</Application>
  <DocSecurity>0</DocSecurity>
  <Lines>113</Lines>
  <Paragraphs>32</Paragraphs>
  <ScaleCrop>false</ScaleCrop>
  <Company/>
  <LinksUpToDate>false</LinksUpToDate>
  <CharactersWithSpaces>16028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raduta</dc:creator>
  <cp:lastModifiedBy>Andrei Rusul</cp:lastModifiedBy>
  <cp:revision>4</cp:revision>
  <dcterms:created xsi:type="dcterms:W3CDTF">2025-09-18T07:41:00Z</dcterms:created>
  <dcterms:modified xsi:type="dcterms:W3CDTF">2026-02-17T16:28:00Z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28e5ca10-fbb6-4dd3-b94c-b253252085ae</vt:lpwstr>
  </property>
</Properties>
</file>